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52B051C" w:rsidR="00A209D6" w:rsidRPr="00B266B0" w:rsidRDefault="00A209D6" w:rsidP="00A209D6">
      <w:pPr>
        <w:pStyle w:val="Header"/>
        <w:tabs>
          <w:tab w:val="right" w:pos="9639"/>
        </w:tabs>
        <w:rPr>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2CC1E94C" w:rsidRPr="6D67AEA2">
        <w:rPr>
          <w:noProof w:val="0"/>
          <w:sz w:val="24"/>
          <w:szCs w:val="24"/>
        </w:rPr>
        <w:t>2</w:t>
      </w:r>
      <w:r w:rsidR="4D06445A" w:rsidRPr="6D67AEA2">
        <w:rPr>
          <w:noProof w:val="0"/>
          <w:sz w:val="24"/>
          <w:szCs w:val="24"/>
        </w:rPr>
        <w:t>2</w:t>
      </w:r>
      <w:r w:rsidR="2622F90E" w:rsidRPr="6D67AEA2">
        <w:rPr>
          <w:noProof w:val="0"/>
          <w:sz w:val="24"/>
          <w:szCs w:val="24"/>
        </w:rPr>
        <w:t>10272</w:t>
      </w:r>
    </w:p>
    <w:p w14:paraId="11776FA6" w14:textId="4B0D1735"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A17176">
        <w:rPr>
          <w:rFonts w:eastAsia="SimSun"/>
          <w:bCs/>
          <w:sz w:val="24"/>
          <w:szCs w:val="24"/>
          <w:lang w:eastAsia="zh-CN"/>
        </w:rPr>
        <w:t>10</w:t>
      </w:r>
      <w:r w:rsidR="005C7CD5" w:rsidRPr="005C7CD5">
        <w:rPr>
          <w:rFonts w:eastAsia="SimSun"/>
          <w:bCs/>
          <w:sz w:val="24"/>
          <w:szCs w:val="24"/>
          <w:lang w:eastAsia="zh-CN"/>
        </w:rPr>
        <w:t xml:space="preserve"> – </w:t>
      </w:r>
      <w:r w:rsidR="00A17176">
        <w:rPr>
          <w:rFonts w:eastAsia="SimSun"/>
          <w:bCs/>
          <w:sz w:val="24"/>
          <w:szCs w:val="24"/>
          <w:lang w:eastAsia="zh-CN"/>
        </w:rPr>
        <w:t>19</w:t>
      </w:r>
      <w:r w:rsidR="005C7CD5" w:rsidRPr="005C7CD5">
        <w:rPr>
          <w:rFonts w:eastAsia="SimSun"/>
          <w:bCs/>
          <w:sz w:val="24"/>
          <w:szCs w:val="24"/>
          <w:lang w:eastAsia="zh-CN"/>
        </w:rPr>
        <w:t xml:space="preserve"> </w:t>
      </w:r>
      <w:r w:rsidR="00A17176">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F16E72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07F1">
        <w:rPr>
          <w:rFonts w:cs="Arial"/>
          <w:b/>
          <w:bCs/>
          <w:sz w:val="24"/>
          <w:lang w:eastAsia="ja-JP"/>
        </w:rPr>
        <w:t>8.12</w:t>
      </w:r>
      <w:r w:rsidR="00647E51">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6F9A3E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840AA">
        <w:rPr>
          <w:rFonts w:ascii="Arial" w:hAnsi="Arial" w:cs="Arial"/>
          <w:b/>
          <w:bCs/>
          <w:sz w:val="24"/>
        </w:rPr>
        <w:t>RAN impacts due to mobile IAB-nodes</w:t>
      </w:r>
    </w:p>
    <w:p w14:paraId="25F387E8" w14:textId="2776F10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E07F1">
        <w:rPr>
          <w:rFonts w:ascii="Arial" w:hAnsi="Arial" w:cs="Arial"/>
          <w:b/>
          <w:bCs/>
          <w:sz w:val="24"/>
        </w:rPr>
        <w:t xml:space="preserve">NR_mobile_IAB </w:t>
      </w:r>
      <w:r>
        <w:rPr>
          <w:rFonts w:ascii="Arial" w:hAnsi="Arial" w:cs="Arial"/>
          <w:b/>
          <w:bCs/>
          <w:sz w:val="24"/>
        </w:rPr>
        <w:t xml:space="preserve">- Release </w:t>
      </w:r>
      <w:r w:rsidR="00EE07F1">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216D95" w14:textId="0B4BB932" w:rsidR="00EE07F1" w:rsidRDefault="00EE07F1" w:rsidP="00EE07F1">
      <w:r>
        <w:t xml:space="preserve">The agreed Rel-18 WI on Mobile IAB for NR in </w:t>
      </w:r>
      <w:hyperlink r:id="rId12" w:history="1">
        <w:r w:rsidRPr="00B2050F">
          <w:rPr>
            <w:rStyle w:val="Hyperlink"/>
          </w:rPr>
          <w:t>RP-22</w:t>
        </w:r>
        <w:r>
          <w:rPr>
            <w:rStyle w:val="Hyperlink"/>
          </w:rPr>
          <w:t>1815</w:t>
        </w:r>
      </w:hyperlink>
      <w:r>
        <w:t xml:space="preserve"> defines the detailed objectives and principles as follows:</w:t>
      </w:r>
    </w:p>
    <w:p w14:paraId="2E1750F5" w14:textId="77777777" w:rsidR="00EE07F1" w:rsidRPr="00EE07F1" w:rsidRDefault="00EE07F1" w:rsidP="00EE07F1">
      <w:pPr>
        <w:pStyle w:val="maintext"/>
        <w:numPr>
          <w:ilvl w:val="0"/>
          <w:numId w:val="8"/>
        </w:numPr>
        <w:spacing w:before="0" w:after="0" w:line="240" w:lineRule="auto"/>
        <w:ind w:left="1080" w:firstLineChars="0"/>
        <w:rPr>
          <w:rFonts w:ascii="Calibri" w:eastAsia="Times New Roman" w:hAnsi="Calibri" w:cs="Calibri"/>
          <w:i/>
          <w:iCs/>
          <w:lang w:eastAsia="en-US"/>
        </w:rPr>
      </w:pPr>
      <w:r w:rsidRPr="00EE07F1">
        <w:rPr>
          <w:rFonts w:ascii="Calibri" w:eastAsia="Times New Roman" w:hAnsi="Calibri" w:cs="Calibri"/>
          <w:i/>
          <w:iCs/>
          <w:lang w:eastAsia="en-US"/>
        </w:rPr>
        <w:t>Define Procedures for migration/topology adaptation to enable IAB-node mobility, including inter-donor migration of the entire mobile IAB-node (full migration) [RAN3, RAN2]</w:t>
      </w:r>
    </w:p>
    <w:p w14:paraId="4F897FA6" w14:textId="77777777" w:rsidR="00EE07F1" w:rsidRPr="00EE07F1" w:rsidRDefault="00EE07F1" w:rsidP="00EE07F1">
      <w:pPr>
        <w:pStyle w:val="maintext"/>
        <w:numPr>
          <w:ilvl w:val="0"/>
          <w:numId w:val="8"/>
        </w:numPr>
        <w:spacing w:before="0" w:after="0" w:line="240" w:lineRule="auto"/>
        <w:ind w:left="1080" w:firstLineChars="0"/>
        <w:rPr>
          <w:rFonts w:ascii="Calibri" w:eastAsia="Times New Roman" w:hAnsi="Calibri" w:cs="Calibri"/>
          <w:i/>
          <w:iCs/>
          <w:lang w:eastAsia="en-US"/>
        </w:rPr>
      </w:pPr>
      <w:r w:rsidRPr="00EE07F1">
        <w:rPr>
          <w:rFonts w:ascii="Calibri" w:eastAsia="Times New Roman" w:hAnsi="Calibri" w:cs="Calibri"/>
          <w:i/>
          <w:iCs/>
          <w:lang w:eastAsia="en-US"/>
        </w:rPr>
        <w:t>Enhancements for mobility of an IAB-node together with its served UEs, including aspects related to group mobility. No optimizations for the targeting of surrounding UEs. [RAN3, RAN2]</w:t>
      </w:r>
    </w:p>
    <w:p w14:paraId="68F2E96E" w14:textId="77777777" w:rsidR="00EE07F1" w:rsidRPr="00EE07F1" w:rsidRDefault="00EE07F1" w:rsidP="008E302D">
      <w:pPr>
        <w:pStyle w:val="maintext"/>
        <w:spacing w:before="0" w:after="0" w:line="240" w:lineRule="auto"/>
        <w:ind w:left="1080" w:firstLineChars="0" w:firstLine="0"/>
        <w:rPr>
          <w:rFonts w:ascii="Calibri" w:eastAsia="Times New Roman" w:hAnsi="Calibri" w:cs="Calibri"/>
          <w:i/>
          <w:iCs/>
          <w:lang w:eastAsia="en-US"/>
        </w:rPr>
      </w:pPr>
      <w:r w:rsidRPr="00EE07F1">
        <w:rPr>
          <w:rFonts w:ascii="Calibri" w:eastAsia="Times New Roman" w:hAnsi="Calibri" w:cs="Calibri"/>
          <w:i/>
          <w:iCs/>
          <w:lang w:eastAsia="en-US"/>
        </w:rPr>
        <w:t>Note: Solutions should avoid touching upon topics where Rel-17 discussions already occurred and where the topic was excluded from Rel-17, except for enhancements that are specific to IAB-node mobility.</w:t>
      </w:r>
    </w:p>
    <w:p w14:paraId="49F210E7" w14:textId="77777777" w:rsidR="00EE07F1" w:rsidRPr="00EE07F1" w:rsidRDefault="00EE07F1" w:rsidP="00EE07F1">
      <w:pPr>
        <w:pStyle w:val="maintext"/>
        <w:numPr>
          <w:ilvl w:val="0"/>
          <w:numId w:val="8"/>
        </w:numPr>
        <w:spacing w:before="0" w:after="0" w:line="240" w:lineRule="auto"/>
        <w:ind w:left="1080" w:firstLineChars="0"/>
        <w:rPr>
          <w:rFonts w:ascii="Calibri" w:eastAsia="Times New Roman" w:hAnsi="Calibri" w:cs="Calibri"/>
          <w:i/>
          <w:iCs/>
          <w:lang w:eastAsia="en-US"/>
        </w:rPr>
      </w:pPr>
      <w:r w:rsidRPr="00EE07F1">
        <w:rPr>
          <w:rFonts w:ascii="Calibri" w:eastAsia="Times New Roman" w:hAnsi="Calibri" w:cs="Calibri"/>
          <w:i/>
          <w:iCs/>
          <w:lang w:eastAsia="en-US"/>
        </w:rPr>
        <w:t>Mitigation of interference due to IAB-node mobility, including the avoidance of potential reference and control signal collisions (e.g. PCI, RACH). [RAN3, RAN2]</w:t>
      </w:r>
    </w:p>
    <w:p w14:paraId="6687EF90" w14:textId="5AFD64F2" w:rsidR="00EE07F1" w:rsidRPr="00EE07F1" w:rsidRDefault="008E302D" w:rsidP="00EE07F1">
      <w:pPr>
        <w:pStyle w:val="maintext"/>
        <w:spacing w:before="0" w:after="0" w:line="240" w:lineRule="auto"/>
        <w:ind w:left="720" w:firstLineChars="0" w:firstLine="0"/>
        <w:rPr>
          <w:rFonts w:ascii="Calibri" w:eastAsia="Times New Roman" w:hAnsi="Calibri" w:cs="Calibri"/>
          <w:i/>
          <w:iCs/>
          <w:lang w:eastAsia="en-US"/>
        </w:rPr>
      </w:pPr>
      <w:r>
        <w:rPr>
          <w:rFonts w:ascii="Calibri" w:eastAsia="Times New Roman" w:hAnsi="Calibri" w:cs="Calibri"/>
          <w:i/>
          <w:iCs/>
          <w:lang w:eastAsia="en-US"/>
        </w:rPr>
        <w:t>(…)</w:t>
      </w:r>
    </w:p>
    <w:p w14:paraId="73BEB56B" w14:textId="77777777" w:rsidR="00EE07F1" w:rsidRPr="00EE07F1" w:rsidRDefault="00EE07F1" w:rsidP="00EE07F1">
      <w:pPr>
        <w:pStyle w:val="maintext"/>
        <w:spacing w:before="0" w:after="0" w:line="240" w:lineRule="auto"/>
        <w:ind w:left="720" w:firstLineChars="0" w:firstLine="0"/>
        <w:rPr>
          <w:rFonts w:ascii="Calibri" w:eastAsia="Times New Roman" w:hAnsi="Calibri" w:cs="Calibri"/>
          <w:i/>
          <w:iCs/>
          <w:lang w:eastAsia="en-US"/>
        </w:rPr>
      </w:pPr>
      <w:r w:rsidRPr="00EE07F1">
        <w:rPr>
          <w:rFonts w:ascii="Calibri" w:eastAsia="Times New Roman" w:hAnsi="Calibri" w:cs="Calibri"/>
          <w:i/>
          <w:iCs/>
          <w:lang w:eastAsia="en-US"/>
        </w:rPr>
        <w:t>The following principles should be respected:</w:t>
      </w:r>
    </w:p>
    <w:p w14:paraId="7642B8E9" w14:textId="77777777" w:rsidR="00EE07F1" w:rsidRPr="00EE07F1" w:rsidRDefault="00EE07F1" w:rsidP="00EE07F1">
      <w:pPr>
        <w:pStyle w:val="maintext"/>
        <w:numPr>
          <w:ilvl w:val="0"/>
          <w:numId w:val="8"/>
        </w:numPr>
        <w:spacing w:before="0" w:after="0" w:line="240" w:lineRule="auto"/>
        <w:ind w:left="1080" w:firstLineChars="0"/>
        <w:rPr>
          <w:rFonts w:ascii="Calibri" w:eastAsia="Times New Roman" w:hAnsi="Calibri" w:cs="Calibri"/>
          <w:i/>
          <w:iCs/>
          <w:lang w:eastAsia="en-US"/>
        </w:rPr>
      </w:pPr>
      <w:r w:rsidRPr="00EE07F1">
        <w:rPr>
          <w:rFonts w:ascii="Calibri" w:eastAsia="Times New Roman" w:hAnsi="Calibri" w:cs="Calibri"/>
          <w:i/>
          <w:iCs/>
          <w:lang w:eastAsia="en-US"/>
        </w:rPr>
        <w:t>Mobile IAB-nodes should be able to serve legacy UEs.</w:t>
      </w:r>
    </w:p>
    <w:p w14:paraId="78BCCA56" w14:textId="77777777" w:rsidR="00EE07F1" w:rsidRPr="00EE07F1" w:rsidRDefault="00EE07F1" w:rsidP="00EE07F1">
      <w:pPr>
        <w:pStyle w:val="maintext"/>
        <w:numPr>
          <w:ilvl w:val="0"/>
          <w:numId w:val="8"/>
        </w:numPr>
        <w:spacing w:before="0" w:after="0" w:line="240" w:lineRule="auto"/>
        <w:ind w:left="1080" w:firstLineChars="0"/>
        <w:rPr>
          <w:rFonts w:ascii="Calibri" w:eastAsia="Times New Roman" w:hAnsi="Calibri" w:cs="Calibri"/>
          <w:i/>
          <w:iCs/>
          <w:lang w:eastAsia="en-US"/>
        </w:rPr>
      </w:pPr>
      <w:r w:rsidRPr="00EE07F1">
        <w:rPr>
          <w:rFonts w:ascii="Calibri" w:eastAsia="Times New Roman" w:hAnsi="Calibri" w:cs="Calibri"/>
          <w:i/>
          <w:iCs/>
          <w:lang w:eastAsia="en-US"/>
        </w:rPr>
        <w:t>Solutions providing optimization for Mobile IAB may entail Rel-18 UE enhancements, provided that such enhancements are backwards compatible</w:t>
      </w:r>
    </w:p>
    <w:p w14:paraId="3B8B8D1E" w14:textId="77777777" w:rsidR="00EE07F1" w:rsidRPr="00405D21" w:rsidRDefault="00EE07F1" w:rsidP="00EE07F1">
      <w:pPr>
        <w:pStyle w:val="maintext"/>
        <w:spacing w:before="0" w:after="0" w:line="240" w:lineRule="auto"/>
        <w:ind w:left="1080" w:firstLineChars="0" w:firstLine="0"/>
        <w:rPr>
          <w:rFonts w:ascii="Calibri" w:eastAsia="Times New Roman" w:hAnsi="Calibri" w:cs="Calibri"/>
          <w:i/>
          <w:iCs/>
          <w:lang w:eastAsia="en-US"/>
        </w:rPr>
      </w:pPr>
    </w:p>
    <w:p w14:paraId="507BD2B2" w14:textId="6BBAA054" w:rsidR="00C96314" w:rsidRPr="00C96314" w:rsidRDefault="00EE07F1" w:rsidP="00C96314">
      <w:r>
        <w:t xml:space="preserve">In this document we discuss the assumptions for IAB deployment and issues related to mobility support based on the </w:t>
      </w:r>
      <w:r w:rsidR="00515054">
        <w:t>initially</w:t>
      </w:r>
      <w:r>
        <w:t xml:space="preserve"> endorsed points in RAN2#119-e</w:t>
      </w:r>
      <w:r w:rsidR="00515054">
        <w:t>.</w:t>
      </w:r>
    </w:p>
    <w:p w14:paraId="7C69F68E" w14:textId="3E6FF37D" w:rsidR="00C96314" w:rsidRDefault="004D24C4" w:rsidP="00D8026D">
      <w:pPr>
        <w:pStyle w:val="Heading1"/>
      </w:pPr>
      <w:r>
        <w:t>2</w:t>
      </w:r>
      <w:r w:rsidR="00D8026D">
        <w:tab/>
      </w:r>
      <w:r w:rsidR="00C96314">
        <w:t>Mobile IAB status</w:t>
      </w:r>
    </w:p>
    <w:p w14:paraId="1AE36C3D" w14:textId="2095626E" w:rsidR="00D8026D" w:rsidRDefault="005F1F24" w:rsidP="00D8026D">
      <w:r>
        <w:t xml:space="preserve">Rel-17 IAB-nodes capabilities have been </w:t>
      </w:r>
      <w:r w:rsidR="00227A41">
        <w:t>i</w:t>
      </w:r>
      <w:r>
        <w:t>de</w:t>
      </w:r>
      <w:r w:rsidR="00227A41">
        <w:t>nti</w:t>
      </w:r>
      <w:r>
        <w:t>f</w:t>
      </w:r>
      <w:r w:rsidR="00227A41">
        <w:t>i</w:t>
      </w:r>
      <w:r>
        <w:t>ed to support IAB-node functionality limited to fixed node deployment. With Rel-18 objective to support mobile IAB, the IAB-node operations may adopt different handling</w:t>
      </w:r>
      <w:r w:rsidR="000C525C">
        <w:t>, which potentially can imply differences in IAB</w:t>
      </w:r>
      <w:r w:rsidR="00227A41">
        <w:t>-nodes</w:t>
      </w:r>
      <w:r w:rsidR="000C525C">
        <w:t xml:space="preserve"> capability or behaviour. </w:t>
      </w:r>
      <w:r w:rsidR="00BF1816">
        <w:rPr>
          <w:bCs/>
        </w:rPr>
        <w:t>In th</w:t>
      </w:r>
      <w:r w:rsidR="000C525C">
        <w:rPr>
          <w:bCs/>
        </w:rPr>
        <w:t>at</w:t>
      </w:r>
      <w:r w:rsidR="00BF1816">
        <w:rPr>
          <w:bCs/>
        </w:rPr>
        <w:t xml:space="preserve"> context</w:t>
      </w:r>
      <w:r w:rsidR="000C525C">
        <w:rPr>
          <w:bCs/>
        </w:rPr>
        <w:t>,</w:t>
      </w:r>
      <w:r w:rsidR="00BF1816">
        <w:rPr>
          <w:bCs/>
        </w:rPr>
        <w:t xml:space="preserve"> </w:t>
      </w:r>
      <w:r w:rsidR="00D8026D">
        <w:t xml:space="preserve">RAN2#119-e endorsed </w:t>
      </w:r>
      <w:r w:rsidR="001D13D5">
        <w:t xml:space="preserve">the following </w:t>
      </w:r>
      <w:r w:rsidR="00D8026D">
        <w:t>point</w:t>
      </w:r>
      <w:r w:rsidR="001D13D5">
        <w:t xml:space="preserve"> for discussion</w:t>
      </w:r>
      <w:r w:rsidR="00D8026D">
        <w:t>:</w:t>
      </w:r>
    </w:p>
    <w:p w14:paraId="6C85AE41" w14:textId="0D103EB0" w:rsidR="00C96314" w:rsidRPr="00435882" w:rsidRDefault="00C96314" w:rsidP="00C96314">
      <w:pPr>
        <w:pStyle w:val="Agreement"/>
        <w:numPr>
          <w:ilvl w:val="0"/>
          <w:numId w:val="0"/>
        </w:numPr>
        <w:pBdr>
          <w:top w:val="single" w:sz="4" w:space="1" w:color="auto"/>
          <w:left w:val="single" w:sz="4" w:space="4" w:color="auto"/>
          <w:bottom w:val="single" w:sz="4" w:space="1" w:color="auto"/>
          <w:right w:val="single" w:sz="4" w:space="4" w:color="auto"/>
        </w:pBdr>
        <w:ind w:left="1619"/>
        <w:rPr>
          <w:sz w:val="18"/>
          <w:szCs w:val="18"/>
        </w:rPr>
      </w:pPr>
      <w:r w:rsidRPr="00435882">
        <w:rPr>
          <w:sz w:val="18"/>
          <w:szCs w:val="18"/>
        </w:rPr>
        <w:t>P2: Can discuss whether The mobile IAB-MT need to send a mobile-IAB indication (capability or mobility) to the IAB-donor-CU</w:t>
      </w:r>
    </w:p>
    <w:p w14:paraId="78092827" w14:textId="77777777" w:rsidR="00BB4990" w:rsidRDefault="00BB4990" w:rsidP="00BB4990"/>
    <w:p w14:paraId="3A62707B" w14:textId="788210D7" w:rsidR="00BF1816" w:rsidRDefault="000C525C" w:rsidP="00435882">
      <w:pPr>
        <w:rPr>
          <w:color w:val="008000"/>
          <w:lang w:val="en-US"/>
        </w:rPr>
      </w:pPr>
      <w:r>
        <w:t xml:space="preserve">while </w:t>
      </w:r>
      <w:r w:rsidR="008E302D">
        <w:t>RAN3</w:t>
      </w:r>
      <w:r w:rsidR="00BF1816">
        <w:t xml:space="preserve">#117 </w:t>
      </w:r>
      <w:r>
        <w:t xml:space="preserve">made the </w:t>
      </w:r>
      <w:r w:rsidR="00BF1816">
        <w:t>agreement</w:t>
      </w:r>
      <w:r>
        <w:t xml:space="preserve"> that</w:t>
      </w:r>
      <w:r w:rsidR="00BF1816">
        <w:t>:</w:t>
      </w:r>
      <w:r w:rsidR="00F066F1">
        <w:t xml:space="preserve"> </w:t>
      </w:r>
      <w:r w:rsidR="00BF1816">
        <w:rPr>
          <w:color w:val="008000"/>
          <w:lang w:val="en-US"/>
        </w:rPr>
        <w:t>The donor CU should know that the IAB node is “mobile”.</w:t>
      </w:r>
    </w:p>
    <w:p w14:paraId="1E00C862" w14:textId="5BFB35EF" w:rsidR="001D13D5" w:rsidRDefault="001D13D5" w:rsidP="00587C43">
      <w:r>
        <w:t>The requirement that t</w:t>
      </w:r>
      <w:r w:rsidR="00587C43">
        <w:t xml:space="preserve">he donor should become aware that </w:t>
      </w:r>
      <w:r>
        <w:t xml:space="preserve">a IAB node is a mobile -IAB needs to be accounted for </w:t>
      </w:r>
      <w:r w:rsidR="00435882">
        <w:t xml:space="preserve">a </w:t>
      </w:r>
      <w:r>
        <w:t xml:space="preserve">purpose and possibilities. </w:t>
      </w:r>
      <w:r w:rsidR="7D87096E">
        <w:t>During the connection setup procedure, RAN can get the capability informat</w:t>
      </w:r>
      <w:r w:rsidR="2B26ED72">
        <w:t xml:space="preserve">ion from the CN (AMF) in the UE context setup request message. </w:t>
      </w:r>
      <w:r w:rsidR="1886B8B8">
        <w:t xml:space="preserve">If not provided by the CN, capability information can be requested from IAB-MT by the donor CU. </w:t>
      </w:r>
      <w:r w:rsidR="3C30D42F">
        <w:t>For mobile IAB support, this could be extended to have dedicated indication about the mobile IAB-node.</w:t>
      </w:r>
    </w:p>
    <w:p w14:paraId="476D7399" w14:textId="41B6B39F" w:rsidR="001D13D5" w:rsidRDefault="6C5736D2" w:rsidP="6D67AEA2">
      <w:r w:rsidRPr="00F066F1">
        <w:rPr>
          <w:b/>
          <w:bCs/>
        </w:rPr>
        <w:t xml:space="preserve">Observation </w:t>
      </w:r>
      <w:r w:rsidR="00F066F1">
        <w:rPr>
          <w:b/>
          <w:bCs/>
        </w:rPr>
        <w:t>1</w:t>
      </w:r>
      <w:r w:rsidRPr="00F066F1">
        <w:rPr>
          <w:b/>
          <w:bCs/>
        </w:rPr>
        <w:t xml:space="preserve">. IAB-donor-CU can get the indication about the connecting node being a mobile </w:t>
      </w:r>
      <w:r w:rsidR="15B8E882" w:rsidRPr="00F066F1">
        <w:rPr>
          <w:b/>
          <w:bCs/>
        </w:rPr>
        <w:t>IAB-node during the connection setup procedure.</w:t>
      </w:r>
    </w:p>
    <w:p w14:paraId="2CADEF80" w14:textId="19421C6E" w:rsidR="00435882" w:rsidRDefault="00587C43" w:rsidP="00587C43">
      <w:r>
        <w:lastRenderedPageBreak/>
        <w:t>The need to indicate the actual mobility or mobility state of the IAB-node requires study for what purpose it would be used and what would be the benefit. This would be up to RAN3 to discuss. The way how the mobility or mobility state would</w:t>
      </w:r>
      <w:r w:rsidR="00435882">
        <w:t xml:space="preserve"> </w:t>
      </w:r>
      <w:r w:rsidR="007916C0">
        <w:t>need to</w:t>
      </w:r>
      <w:r>
        <w:t xml:space="preserve"> be indicated is also open. </w:t>
      </w:r>
    </w:p>
    <w:p w14:paraId="02CE6E5D" w14:textId="4CA6449F" w:rsidR="00435882" w:rsidRDefault="00435882" w:rsidP="00587C43">
      <w:r w:rsidRPr="003A70CE">
        <w:rPr>
          <w:b/>
          <w:bCs/>
        </w:rPr>
        <w:t xml:space="preserve">Observation </w:t>
      </w:r>
      <w:r w:rsidR="00524CFA">
        <w:rPr>
          <w:b/>
          <w:bCs/>
        </w:rPr>
        <w:t>2</w:t>
      </w:r>
      <w:r w:rsidRPr="003A70CE">
        <w:rPr>
          <w:b/>
          <w:bCs/>
        </w:rPr>
        <w:t xml:space="preserve">. The </w:t>
      </w:r>
      <w:r w:rsidR="00062625">
        <w:rPr>
          <w:b/>
          <w:bCs/>
        </w:rPr>
        <w:t>IAB-</w:t>
      </w:r>
      <w:r>
        <w:rPr>
          <w:b/>
          <w:bCs/>
        </w:rPr>
        <w:t xml:space="preserve">donor CU “awareness” of </w:t>
      </w:r>
      <w:r w:rsidRPr="003A70CE">
        <w:rPr>
          <w:b/>
          <w:bCs/>
        </w:rPr>
        <w:t xml:space="preserve">mobile-IAB </w:t>
      </w:r>
      <w:r>
        <w:rPr>
          <w:b/>
          <w:bCs/>
        </w:rPr>
        <w:t>status does not imply a</w:t>
      </w:r>
      <w:r w:rsidR="00C82D8C">
        <w:rPr>
          <w:b/>
          <w:bCs/>
        </w:rPr>
        <w:t xml:space="preserve"> </w:t>
      </w:r>
      <w:r>
        <w:rPr>
          <w:b/>
          <w:bCs/>
        </w:rPr>
        <w:t>n</w:t>
      </w:r>
      <w:r w:rsidR="00C82D8C">
        <w:rPr>
          <w:b/>
          <w:bCs/>
        </w:rPr>
        <w:t>eed for</w:t>
      </w:r>
      <w:r>
        <w:rPr>
          <w:b/>
          <w:bCs/>
        </w:rPr>
        <w:t xml:space="preserve"> explicit </w:t>
      </w:r>
      <w:r w:rsidR="00C82D8C">
        <w:rPr>
          <w:b/>
          <w:bCs/>
        </w:rPr>
        <w:t xml:space="preserve">RRC </w:t>
      </w:r>
      <w:r>
        <w:rPr>
          <w:b/>
          <w:bCs/>
        </w:rPr>
        <w:t>signalling.</w:t>
      </w:r>
      <w:r w:rsidRPr="003A70CE">
        <w:rPr>
          <w:b/>
          <w:bCs/>
        </w:rPr>
        <w:t xml:space="preserve"> </w:t>
      </w:r>
    </w:p>
    <w:p w14:paraId="0C232147" w14:textId="27C9C670" w:rsidR="00587C43" w:rsidRDefault="00587C43" w:rsidP="00587C43">
      <w:r>
        <w:t xml:space="preserve">It could be similar to UE mobility state based on handovers. This information, however, would be available without dedicated reporting in the serving network if/when the IAB-node connection to donors is tracked. IAB-MT could also estimate the velocity based on radio measurements, but it may not be very reliable and would possibly need specification for performance requirements. </w:t>
      </w:r>
    </w:p>
    <w:p w14:paraId="3AC05B63" w14:textId="77777777" w:rsidR="00587C43" w:rsidRDefault="00587C43" w:rsidP="00587C43">
      <w:r>
        <w:t>Therefore, if any mobility indication will be specified, there should be clear understanding about the usage and benefits as well as how reliable or useful the provided metrics is for this purpose. This is something for RAN3 to discuss first.</w:t>
      </w:r>
    </w:p>
    <w:p w14:paraId="007EC075" w14:textId="2437F338" w:rsidR="00587C43" w:rsidRDefault="00587C43" w:rsidP="00587C43">
      <w:pPr>
        <w:rPr>
          <w:b/>
          <w:bCs/>
        </w:rPr>
      </w:pPr>
      <w:r w:rsidRPr="003A70CE">
        <w:rPr>
          <w:b/>
          <w:bCs/>
        </w:rPr>
        <w:t xml:space="preserve">Proposal </w:t>
      </w:r>
      <w:r w:rsidR="00524CFA">
        <w:rPr>
          <w:b/>
          <w:bCs/>
        </w:rPr>
        <w:t>1</w:t>
      </w:r>
      <w:r w:rsidRPr="003A70CE">
        <w:rPr>
          <w:b/>
          <w:bCs/>
        </w:rPr>
        <w:t xml:space="preserve">. RAN2 to wait RAN3 conclusion on </w:t>
      </w:r>
      <w:r w:rsidR="00FC343B">
        <w:rPr>
          <w:b/>
          <w:bCs/>
        </w:rPr>
        <w:t>how the IAB</w:t>
      </w:r>
      <w:r w:rsidR="00062625">
        <w:rPr>
          <w:b/>
          <w:bCs/>
        </w:rPr>
        <w:t>-donor know</w:t>
      </w:r>
      <w:r w:rsidR="00C52398">
        <w:rPr>
          <w:b/>
          <w:bCs/>
        </w:rPr>
        <w:t>s</w:t>
      </w:r>
      <w:r w:rsidR="00062625">
        <w:rPr>
          <w:b/>
          <w:bCs/>
        </w:rPr>
        <w:t xml:space="preserve"> the </w:t>
      </w:r>
      <w:r w:rsidRPr="003A70CE">
        <w:rPr>
          <w:b/>
          <w:bCs/>
        </w:rPr>
        <w:t>mobility (state) indication.</w:t>
      </w:r>
    </w:p>
    <w:p w14:paraId="679A156E" w14:textId="1DC14DDA" w:rsidR="004D24C4" w:rsidRDefault="004D24C4" w:rsidP="004D24C4">
      <w:pPr>
        <w:pStyle w:val="Heading1"/>
      </w:pPr>
      <w:r>
        <w:t>3</w:t>
      </w:r>
      <w:r w:rsidRPr="006E13D1">
        <w:tab/>
      </w:r>
      <w:r w:rsidR="00A840AA">
        <w:t>Impacts to UE procedures</w:t>
      </w:r>
    </w:p>
    <w:p w14:paraId="3F8FAC7D" w14:textId="77777777" w:rsidR="0098725C" w:rsidRDefault="0098725C" w:rsidP="0098725C">
      <w:pPr>
        <w:pStyle w:val="Heading2"/>
      </w:pPr>
      <w:r>
        <w:t>3.1</w:t>
      </w:r>
      <w:r>
        <w:tab/>
        <w:t xml:space="preserve">Cell (re-)selection to/from mobile IAB </w:t>
      </w:r>
    </w:p>
    <w:p w14:paraId="370A140B" w14:textId="282A5D02" w:rsidR="0098725C" w:rsidRDefault="00350D04" w:rsidP="0098725C">
      <w:r>
        <w:rPr>
          <w:bCs/>
        </w:rPr>
        <w:t xml:space="preserve">Discussions on mobile-IAB, identified cell (re)selection as a procedure that require further insight on potential enhancements need. On that </w:t>
      </w:r>
      <w:r w:rsidR="0098725C">
        <w:rPr>
          <w:bCs/>
        </w:rPr>
        <w:t xml:space="preserve">RAN2#119-e </w:t>
      </w:r>
      <w:r>
        <w:rPr>
          <w:bCs/>
        </w:rPr>
        <w:t xml:space="preserve">has </w:t>
      </w:r>
      <w:r w:rsidR="0098725C">
        <w:rPr>
          <w:bCs/>
        </w:rPr>
        <w:t xml:space="preserve">endorsed </w:t>
      </w:r>
      <w:r>
        <w:rPr>
          <w:bCs/>
        </w:rPr>
        <w:t xml:space="preserve">the following </w:t>
      </w:r>
      <w:r w:rsidR="0098725C">
        <w:rPr>
          <w:bCs/>
        </w:rPr>
        <w:t xml:space="preserve">point: </w:t>
      </w:r>
    </w:p>
    <w:p w14:paraId="7151A172" w14:textId="77777777" w:rsidR="0098725C" w:rsidRPr="00350D04" w:rsidRDefault="0098725C" w:rsidP="0098725C">
      <w:pPr>
        <w:pStyle w:val="Agreement"/>
        <w:numPr>
          <w:ilvl w:val="0"/>
          <w:numId w:val="0"/>
        </w:numPr>
        <w:pBdr>
          <w:top w:val="single" w:sz="4" w:space="1" w:color="auto"/>
          <w:left w:val="single" w:sz="4" w:space="4" w:color="auto"/>
          <w:bottom w:val="single" w:sz="4" w:space="1" w:color="auto"/>
          <w:right w:val="single" w:sz="4" w:space="4" w:color="auto"/>
        </w:pBdr>
        <w:ind w:left="1619"/>
        <w:rPr>
          <w:sz w:val="18"/>
          <w:szCs w:val="18"/>
        </w:rPr>
      </w:pPr>
      <w:r w:rsidRPr="00350D04">
        <w:rPr>
          <w:sz w:val="18"/>
          <w:szCs w:val="18"/>
        </w:rPr>
        <w:t>P1: RAN2 to discuss scenarios, if and where enhancements to cell (re-)selection to/from the mobile IAB-node apply, e.g. based on mobile IAB-node broadcast parameter (this point doesn’t preclude other potential usage of Bcast info).</w:t>
      </w:r>
    </w:p>
    <w:p w14:paraId="591F6C32" w14:textId="05AF846A" w:rsidR="00BF66BF" w:rsidRDefault="00BF66BF" w:rsidP="00BF66BF">
      <w:r>
        <w:t>T</w:t>
      </w:r>
      <w:r w:rsidR="00350D04">
        <w:t>o benefit from cell (re)selection enhancements, it</w:t>
      </w:r>
      <w:r>
        <w:t xml:space="preserve"> would be </w:t>
      </w:r>
      <w:r w:rsidR="00350D04">
        <w:t>necessary</w:t>
      </w:r>
      <w:r>
        <w:t xml:space="preserve"> to identify whether a connected UE is an on-board or outside UE. The detection, however, may be difficult. For example, when the train with mobile IAB stops at a station, a UE on the platform may connect to the mobile IAB. When the train departs, the UE should be handover to other, non-moving cell.</w:t>
      </w:r>
    </w:p>
    <w:p w14:paraId="2586A64A" w14:textId="77777777" w:rsidR="00BF66BF" w:rsidRDefault="00BF66BF" w:rsidP="00BF66BF">
      <w:r>
        <w:t>There could be two basic options to cope with the issue:</w:t>
      </w:r>
    </w:p>
    <w:p w14:paraId="39A61C7B" w14:textId="77777777" w:rsidR="00BF66BF" w:rsidRPr="003A70CE" w:rsidRDefault="00BF66BF" w:rsidP="00BF66BF">
      <w:pPr>
        <w:pStyle w:val="ListParagraph"/>
        <w:numPr>
          <w:ilvl w:val="0"/>
          <w:numId w:val="20"/>
        </w:numPr>
        <w:rPr>
          <w:sz w:val="20"/>
          <w:szCs w:val="20"/>
          <w:lang w:eastAsia="en-US"/>
        </w:rPr>
      </w:pPr>
      <w:r w:rsidRPr="003A70CE">
        <w:rPr>
          <w:sz w:val="20"/>
          <w:szCs w:val="20"/>
          <w:lang w:eastAsia="en-US"/>
        </w:rPr>
        <w:t>UE knowing itself that it is either onboard or outside UE</w:t>
      </w:r>
    </w:p>
    <w:p w14:paraId="349F6BFB" w14:textId="77777777" w:rsidR="00BF66BF" w:rsidRPr="003A70CE" w:rsidRDefault="00BF66BF" w:rsidP="00BF66BF">
      <w:pPr>
        <w:pStyle w:val="ListParagraph"/>
        <w:numPr>
          <w:ilvl w:val="0"/>
          <w:numId w:val="20"/>
        </w:numPr>
        <w:spacing w:after="120"/>
        <w:rPr>
          <w:sz w:val="20"/>
          <w:szCs w:val="20"/>
          <w:lang w:eastAsia="en-US"/>
        </w:rPr>
      </w:pPr>
      <w:r w:rsidRPr="003A70CE">
        <w:rPr>
          <w:sz w:val="20"/>
          <w:szCs w:val="20"/>
          <w:lang w:eastAsia="en-US"/>
        </w:rPr>
        <w:t>Mobile IAB-node detecting which UEs are onboard and which are outside.</w:t>
      </w:r>
    </w:p>
    <w:p w14:paraId="62FE5918" w14:textId="77777777" w:rsidR="00BF66BF" w:rsidRDefault="00BF66BF" w:rsidP="00BF66BF">
      <w:r>
        <w:t>In the 1</w:t>
      </w:r>
      <w:r w:rsidRPr="003A70CE">
        <w:rPr>
          <w:vertAlign w:val="superscript"/>
        </w:rPr>
        <w:t>st</w:t>
      </w:r>
      <w:r>
        <w:t xml:space="preserve"> case, UE may not be able to determine reliable whether it should prefer connection/camping to a mobile cell or stationary cell, this assuming that the mobile IAB-node broadcast “mobility” indication and the UE is Rel.18 capable. The difficulty is that the mobile IAB-nodes can be occasionally stationary e.g. train stopping at a railway station. Mobility detection in such case would not indicate to which kind of cell would be best to connect/camp.</w:t>
      </w:r>
    </w:p>
    <w:p w14:paraId="52ACD08C" w14:textId="77777777" w:rsidR="00BF66BF" w:rsidRDefault="00BF66BF" w:rsidP="00BF66BF">
      <w:r>
        <w:t>There could be application-level information from the user (manually setting the preference to mobile e.g. when entering a train/bus, …) or based on the subscription whether connection to mobile cells is allowed or preferred. It requires, however, discussion how such higher layer information is provided to the AS layers and how/if that would be addressed in RAN specifications.</w:t>
      </w:r>
    </w:p>
    <w:p w14:paraId="4AC97B1A" w14:textId="38165674" w:rsidR="00BF66BF" w:rsidRPr="003A70CE" w:rsidRDefault="00BF66BF" w:rsidP="00BF66BF">
      <w:pPr>
        <w:rPr>
          <w:b/>
          <w:bCs/>
        </w:rPr>
      </w:pPr>
      <w:r w:rsidRPr="003A70CE">
        <w:rPr>
          <w:b/>
          <w:bCs/>
        </w:rPr>
        <w:t xml:space="preserve">Observation </w:t>
      </w:r>
      <w:r w:rsidR="003F2379">
        <w:rPr>
          <w:b/>
          <w:bCs/>
        </w:rPr>
        <w:t>3</w:t>
      </w:r>
      <w:r w:rsidRPr="003A70CE">
        <w:rPr>
          <w:b/>
          <w:bCs/>
        </w:rPr>
        <w:t xml:space="preserve">. </w:t>
      </w:r>
      <w:r w:rsidR="00350D04">
        <w:rPr>
          <w:b/>
          <w:bCs/>
        </w:rPr>
        <w:t>C</w:t>
      </w:r>
      <w:r w:rsidRPr="003A70CE">
        <w:rPr>
          <w:b/>
          <w:bCs/>
        </w:rPr>
        <w:t xml:space="preserve">ell (re-)selection </w:t>
      </w:r>
      <w:r w:rsidR="00350D04">
        <w:rPr>
          <w:b/>
          <w:bCs/>
        </w:rPr>
        <w:t xml:space="preserve">enhancements for mobile-IAB cannot bring benefits without </w:t>
      </w:r>
      <w:r w:rsidR="00350D04" w:rsidRPr="003A70CE">
        <w:rPr>
          <w:b/>
          <w:bCs/>
        </w:rPr>
        <w:t>higher layer information</w:t>
      </w:r>
      <w:r w:rsidRPr="003A70CE">
        <w:rPr>
          <w:b/>
          <w:bCs/>
        </w:rPr>
        <w:t>.</w:t>
      </w:r>
    </w:p>
    <w:p w14:paraId="2E847208" w14:textId="77777777" w:rsidR="00BF66BF" w:rsidRDefault="00BF66BF" w:rsidP="00BF66BF">
      <w:r>
        <w:t>With the 2</w:t>
      </w:r>
      <w:r w:rsidRPr="003A70CE">
        <w:rPr>
          <w:vertAlign w:val="superscript"/>
        </w:rPr>
        <w:t>nd</w:t>
      </w:r>
      <w:r>
        <w:t xml:space="preserve"> option, the detection by the mobile IAB-node whether a UE is onboard or outside, has the same problems as detection by the UE. There are no reliable means to determine if a connected UE is outside or inside the vehicle. Furthermore, the IAB-node do not have knowledge about idle mode UEs whether they should camp in the mobile or stationary cells.</w:t>
      </w:r>
    </w:p>
    <w:p w14:paraId="2A1771BA" w14:textId="2192F3E5" w:rsidR="00BF66BF" w:rsidRPr="003A70CE" w:rsidRDefault="00BF66BF" w:rsidP="00BF66BF">
      <w:pPr>
        <w:rPr>
          <w:b/>
          <w:bCs/>
        </w:rPr>
      </w:pPr>
      <w:r w:rsidRPr="003A70CE">
        <w:rPr>
          <w:b/>
          <w:bCs/>
        </w:rPr>
        <w:t xml:space="preserve">Observation </w:t>
      </w:r>
      <w:r w:rsidR="003F2379">
        <w:rPr>
          <w:b/>
          <w:bCs/>
        </w:rPr>
        <w:t>4</w:t>
      </w:r>
      <w:r w:rsidRPr="003A70CE">
        <w:rPr>
          <w:b/>
          <w:bCs/>
        </w:rPr>
        <w:t>. There are no practical means to reliably detect UE locations to determine whether they are inside or outside the vehicle, i.e. no improvement can be based on such detection.</w:t>
      </w:r>
    </w:p>
    <w:p w14:paraId="6072B7B9" w14:textId="5424E1D0" w:rsidR="00BF66BF" w:rsidRDefault="00BF66BF" w:rsidP="00BF66BF">
      <w:r>
        <w:t>In general, there are challenges to improve the cell (re-)selection behaviour at least on AS level in mobile IAB-scenarios. Furthermore, any enhancement assuming re-defined UE behav</w:t>
      </w:r>
      <w:r w:rsidR="00350D04">
        <w:t>i</w:t>
      </w:r>
      <w:r>
        <w:t>our would have no impact for legacy UEs.</w:t>
      </w:r>
    </w:p>
    <w:p w14:paraId="2BFF152A" w14:textId="1E60DC5D" w:rsidR="00BF66BF" w:rsidRPr="003A70CE" w:rsidRDefault="00BF66BF" w:rsidP="00BF66BF">
      <w:pPr>
        <w:rPr>
          <w:b/>
          <w:bCs/>
        </w:rPr>
      </w:pPr>
      <w:r w:rsidRPr="003A70CE">
        <w:rPr>
          <w:b/>
          <w:bCs/>
        </w:rPr>
        <w:t xml:space="preserve">Observation </w:t>
      </w:r>
      <w:r w:rsidR="003F2379">
        <w:rPr>
          <w:b/>
          <w:bCs/>
        </w:rPr>
        <w:t>5</w:t>
      </w:r>
      <w:r w:rsidRPr="003A70CE">
        <w:rPr>
          <w:b/>
          <w:bCs/>
        </w:rPr>
        <w:t xml:space="preserve">. Enhancements for cell (re-)selection requiring re-defined UE behaviour would have limited </w:t>
      </w:r>
      <w:r w:rsidR="257EC4F3" w:rsidRPr="1A68C6D2">
        <w:rPr>
          <w:b/>
          <w:bCs/>
        </w:rPr>
        <w:t>benefit</w:t>
      </w:r>
      <w:r w:rsidRPr="003A70CE">
        <w:rPr>
          <w:b/>
          <w:bCs/>
        </w:rPr>
        <w:t>.</w:t>
      </w:r>
    </w:p>
    <w:p w14:paraId="73DBC7BE" w14:textId="77777777" w:rsidR="00BF66BF" w:rsidRDefault="00BF66BF" w:rsidP="00BF66BF">
      <w:r>
        <w:lastRenderedPageBreak/>
        <w:t>Considering the challenges and the objectives of the WI, we think that the optimization of cell (re-)selection in mobile IAB scenarios is not critical and can have lower priority.</w:t>
      </w:r>
    </w:p>
    <w:p w14:paraId="518ABBE8" w14:textId="7089DC96" w:rsidR="00BF66BF" w:rsidRPr="003A70CE" w:rsidRDefault="00BF66BF" w:rsidP="00BF66BF">
      <w:pPr>
        <w:rPr>
          <w:b/>
          <w:bCs/>
        </w:rPr>
      </w:pPr>
      <w:r w:rsidRPr="003A70CE">
        <w:rPr>
          <w:b/>
          <w:bCs/>
        </w:rPr>
        <w:t xml:space="preserve">Proposal </w:t>
      </w:r>
      <w:r w:rsidR="00747E46">
        <w:rPr>
          <w:b/>
          <w:bCs/>
        </w:rPr>
        <w:t>2</w:t>
      </w:r>
      <w:r w:rsidRPr="003A70CE">
        <w:rPr>
          <w:b/>
          <w:bCs/>
        </w:rPr>
        <w:t>. Optimizations for cell (re-)selection behaviour can be de-prioritized in Rel.18</w:t>
      </w:r>
    </w:p>
    <w:p w14:paraId="33815BAF" w14:textId="5972F90B" w:rsidR="008E302D" w:rsidRDefault="008E302D" w:rsidP="008E302D">
      <w:pPr>
        <w:pStyle w:val="Heading2"/>
      </w:pPr>
      <w:r>
        <w:t>3.2</w:t>
      </w:r>
      <w:r>
        <w:tab/>
        <w:t>Cell change</w:t>
      </w:r>
    </w:p>
    <w:p w14:paraId="7E90B41A" w14:textId="4EEDCE2B" w:rsidR="00BF66BF" w:rsidRDefault="007B2346" w:rsidP="00BF66BF">
      <w:r>
        <w:t xml:space="preserve">For </w:t>
      </w:r>
      <w:r w:rsidR="00405F91">
        <w:t xml:space="preserve">full migration, </w:t>
      </w:r>
      <w:r w:rsidR="00E02A28">
        <w:t>t</w:t>
      </w:r>
      <w:r w:rsidR="00BF66BF">
        <w:t>he usage of dual-DU IAB for full migration was already discussed in Rel.17. Two alternatives for the resource allocation w</w:t>
      </w:r>
      <w:r w:rsidR="00594229">
        <w:t>ere</w:t>
      </w:r>
      <w:r w:rsidR="00BF66BF">
        <w:t xml:space="preserve"> considered:</w:t>
      </w:r>
    </w:p>
    <w:p w14:paraId="105A4801" w14:textId="77777777" w:rsidR="00BF66BF" w:rsidRDefault="00BF66BF" w:rsidP="00BF66BF">
      <w:r>
        <w:t>•</w:t>
      </w:r>
      <w:r>
        <w:tab/>
        <w:t xml:space="preserve">Alt1: the two logical DUs use separate physical cell resources. </w:t>
      </w:r>
    </w:p>
    <w:p w14:paraId="7288F9E5" w14:textId="77777777" w:rsidR="00BF66BF" w:rsidRDefault="00BF66BF" w:rsidP="00BF66BF">
      <w:r>
        <w:t>•</w:t>
      </w:r>
      <w:r>
        <w:tab/>
        <w:t>Alt2: the two logical DUs use the same physical cell resources.</w:t>
      </w:r>
    </w:p>
    <w:p w14:paraId="0BE7B47D" w14:textId="77777777" w:rsidR="00BF66BF" w:rsidRPr="003A70CE" w:rsidRDefault="00BF66BF" w:rsidP="00BF66BF">
      <w:pPr>
        <w:rPr>
          <w:b/>
          <w:bCs/>
          <w:u w:val="single"/>
        </w:rPr>
      </w:pPr>
      <w:r w:rsidRPr="003A70CE">
        <w:rPr>
          <w:b/>
          <w:bCs/>
          <w:u w:val="single"/>
        </w:rPr>
        <w:t>Alt</w:t>
      </w:r>
      <w:r>
        <w:rPr>
          <w:b/>
          <w:bCs/>
          <w:u w:val="single"/>
        </w:rPr>
        <w:t>1</w:t>
      </w:r>
      <w:r w:rsidRPr="003A70CE">
        <w:rPr>
          <w:b/>
          <w:bCs/>
          <w:u w:val="single"/>
        </w:rPr>
        <w:t xml:space="preserve"> for resource usage:</w:t>
      </w:r>
    </w:p>
    <w:p w14:paraId="5303E145" w14:textId="0982A3E1" w:rsidR="00BF66BF" w:rsidRDefault="00BF66BF" w:rsidP="00BF66BF">
      <w:r>
        <w:t>Using separate carriers in Alt1 to separate physical cell resources would be a straightforward solution. However, this may lead to inefficient usage of radio resources as another carrier should be reserved, or to be available for migration purpose only. The penalty would be largest in FR2 where the carrier BW</w:t>
      </w:r>
      <w:r w:rsidR="6BA2B029">
        <w:t>s</w:t>
      </w:r>
      <w:r>
        <w:t xml:space="preserve"> </w:t>
      </w:r>
      <w:r w:rsidR="41F8CB0C">
        <w:t>are wide</w:t>
      </w:r>
      <w:r>
        <w:t>.</w:t>
      </w:r>
    </w:p>
    <w:p w14:paraId="56E6074E" w14:textId="6885CDFA" w:rsidR="00BF66BF" w:rsidRPr="003A70CE" w:rsidRDefault="00BF66BF" w:rsidP="00BF66BF">
      <w:pPr>
        <w:rPr>
          <w:b/>
          <w:bCs/>
        </w:rPr>
      </w:pPr>
      <w:r w:rsidRPr="003A70CE">
        <w:rPr>
          <w:b/>
          <w:bCs/>
        </w:rPr>
        <w:t xml:space="preserve">Observation </w:t>
      </w:r>
      <w:r w:rsidR="003F2379">
        <w:rPr>
          <w:b/>
          <w:bCs/>
        </w:rPr>
        <w:t>6</w:t>
      </w:r>
      <w:r w:rsidRPr="003A70CE">
        <w:rPr>
          <w:b/>
          <w:bCs/>
        </w:rPr>
        <w:t>. Usage of two carriers to separate cell resources for the two DUs can lead to inefficient usage of radio resources.</w:t>
      </w:r>
    </w:p>
    <w:p w14:paraId="51B3231C" w14:textId="586FC745" w:rsidR="00BF66BF" w:rsidRDefault="00BF66BF" w:rsidP="00BF66BF">
      <w:r>
        <w:t>Separating the DU resources within the same carrier seems better option. There may be multiple options how the separation is done. One way would be to use non-overlapping BWPs for the two DUs where the resources will have effectively a hard split between the DU cells. The targe</w:t>
      </w:r>
      <w:r w:rsidR="54A63D3C">
        <w:t>t</w:t>
      </w:r>
      <w:r>
        <w:t xml:space="preserve"> DU cells can have own SSB configuration with another PCI. The concerned carrier would hence serve two logical cells by the DUs within the same carrier. Concurrent operation of DUs would enable smooth HO of UEs from source DU cell to the target DU cell.</w:t>
      </w:r>
    </w:p>
    <w:p w14:paraId="6056D8F7" w14:textId="4171E188" w:rsidR="00BF66BF" w:rsidRPr="003A70CE" w:rsidRDefault="00BF66BF" w:rsidP="00BF66BF">
      <w:pPr>
        <w:rPr>
          <w:b/>
          <w:bCs/>
        </w:rPr>
      </w:pPr>
      <w:r w:rsidRPr="003A70CE">
        <w:rPr>
          <w:b/>
          <w:bCs/>
        </w:rPr>
        <w:t xml:space="preserve">Observation </w:t>
      </w:r>
      <w:r w:rsidR="003F2379">
        <w:rPr>
          <w:b/>
          <w:bCs/>
        </w:rPr>
        <w:t>7</w:t>
      </w:r>
      <w:r w:rsidRPr="003A70CE">
        <w:rPr>
          <w:b/>
          <w:bCs/>
        </w:rPr>
        <w:t xml:space="preserve">. Cell resources of the two DUs </w:t>
      </w:r>
      <w:r w:rsidRPr="1A68C6D2">
        <w:rPr>
          <w:b/>
          <w:bCs/>
        </w:rPr>
        <w:t>c</w:t>
      </w:r>
      <w:r w:rsidR="1339F6AA" w:rsidRPr="1A68C6D2">
        <w:rPr>
          <w:b/>
          <w:bCs/>
        </w:rPr>
        <w:t>ould</w:t>
      </w:r>
      <w:r w:rsidRPr="003A70CE">
        <w:rPr>
          <w:b/>
          <w:bCs/>
        </w:rPr>
        <w:t xml:space="preserve"> be separated using BWB within one carrier.</w:t>
      </w:r>
    </w:p>
    <w:p w14:paraId="6F9BF800" w14:textId="202CCFDB" w:rsidR="00BF66BF" w:rsidRPr="003A70CE" w:rsidRDefault="00BF66BF" w:rsidP="00BF66BF">
      <w:pPr>
        <w:rPr>
          <w:b/>
          <w:bCs/>
          <w:u w:val="single"/>
        </w:rPr>
      </w:pPr>
      <w:r w:rsidRPr="003A70CE">
        <w:rPr>
          <w:b/>
          <w:bCs/>
          <w:u w:val="single"/>
        </w:rPr>
        <w:t>Alt2 for resource usage:</w:t>
      </w:r>
    </w:p>
    <w:p w14:paraId="4D861A26" w14:textId="7228E242" w:rsidR="00BF66BF" w:rsidRDefault="00BF66BF" w:rsidP="00BF66BF">
      <w:r>
        <w:t>The usage of a single carrier is inherent for Alt2. In an optimum case all radio resource</w:t>
      </w:r>
      <w:r w:rsidR="3350C0A7">
        <w:t>s</w:t>
      </w:r>
      <w:r>
        <w:t xml:space="preserve"> should be freely available for scheduling by both DUs. This seems to be related also to the question whether the DU cells serve the same or different physical cells, i.e. whether the PCI is the same or different in the cells of the two DUs.</w:t>
      </w:r>
    </w:p>
    <w:p w14:paraId="2CA61147" w14:textId="77777777" w:rsidR="00BF66BF" w:rsidRPr="003A70CE" w:rsidRDefault="00BF66BF" w:rsidP="00BF66BF">
      <w:pPr>
        <w:spacing w:after="60"/>
        <w:rPr>
          <w:b/>
          <w:bCs/>
        </w:rPr>
      </w:pPr>
      <w:r w:rsidRPr="003A70CE">
        <w:rPr>
          <w:b/>
          <w:bCs/>
        </w:rPr>
        <w:t>Usage of</w:t>
      </w:r>
      <w:r>
        <w:rPr>
          <w:b/>
          <w:bCs/>
        </w:rPr>
        <w:t xml:space="preserve"> different </w:t>
      </w:r>
      <w:r w:rsidRPr="003A70CE">
        <w:rPr>
          <w:b/>
          <w:bCs/>
        </w:rPr>
        <w:t>PCI</w:t>
      </w:r>
      <w:r>
        <w:rPr>
          <w:b/>
          <w:bCs/>
        </w:rPr>
        <w:t>s</w:t>
      </w:r>
      <w:r w:rsidRPr="003A70CE">
        <w:rPr>
          <w:b/>
          <w:bCs/>
        </w:rPr>
        <w:t>:</w:t>
      </w:r>
    </w:p>
    <w:p w14:paraId="79F192BA" w14:textId="36B69631" w:rsidR="00BF66BF" w:rsidRDefault="00BF66BF" w:rsidP="00BF66BF">
      <w:r>
        <w:t>Having different PCIs and sharing the radio resource by the two DUs would become close to the case of using separate resources within a single carrier. Two sets of system information would be broadcast by the two DUs. The DUs should preferably operate in parallel during the migration to allow smooth UE handovers with normal HO procedure. It is however open how the sharing would happen in practice. If BWPs were used, it would be</w:t>
      </w:r>
      <w:r w:rsidR="5965CF66">
        <w:t>come</w:t>
      </w:r>
      <w:r>
        <w:t xml:space="preserve"> </w:t>
      </w:r>
      <w:r w:rsidR="38464B0E">
        <w:t xml:space="preserve">similar </w:t>
      </w:r>
      <w:r>
        <w:t xml:space="preserve">to split resources (discussed above). Alternatively, the sharing could happen in the scheduler (MAC) level which would require interaction between MAC instances. Further studies is required for options how radio resources </w:t>
      </w:r>
      <w:r w:rsidR="4AFD628D">
        <w:t xml:space="preserve">would be </w:t>
      </w:r>
      <w:r>
        <w:t>scheduled with shared resources.</w:t>
      </w:r>
    </w:p>
    <w:p w14:paraId="4396E3C7" w14:textId="38DBE149" w:rsidR="00BF66BF" w:rsidRPr="003A70CE" w:rsidRDefault="00BF66BF" w:rsidP="00BF66BF">
      <w:pPr>
        <w:rPr>
          <w:b/>
          <w:bCs/>
        </w:rPr>
      </w:pPr>
      <w:r w:rsidRPr="003A70CE">
        <w:rPr>
          <w:b/>
          <w:bCs/>
        </w:rPr>
        <w:t xml:space="preserve">Observation </w:t>
      </w:r>
      <w:r w:rsidR="003F2379">
        <w:rPr>
          <w:b/>
          <w:bCs/>
        </w:rPr>
        <w:t>8</w:t>
      </w:r>
      <w:r w:rsidRPr="003A70CE">
        <w:rPr>
          <w:b/>
          <w:bCs/>
        </w:rPr>
        <w:t xml:space="preserve">. </w:t>
      </w:r>
      <w:r w:rsidR="00E85AAE">
        <w:rPr>
          <w:b/>
          <w:bCs/>
        </w:rPr>
        <w:t>Further studies are required on</w:t>
      </w:r>
      <w:r w:rsidRPr="003A70CE">
        <w:rPr>
          <w:b/>
          <w:bCs/>
        </w:rPr>
        <w:t xml:space="preserve"> how the resources </w:t>
      </w:r>
      <w:r w:rsidR="7D9E37C5" w:rsidRPr="1A68C6D2">
        <w:rPr>
          <w:b/>
          <w:bCs/>
        </w:rPr>
        <w:t xml:space="preserve">would be </w:t>
      </w:r>
      <w:r w:rsidRPr="003A70CE">
        <w:rPr>
          <w:b/>
          <w:bCs/>
        </w:rPr>
        <w:t>schedule</w:t>
      </w:r>
      <w:r w:rsidR="00E85AAE">
        <w:rPr>
          <w:b/>
          <w:bCs/>
        </w:rPr>
        <w:t>d</w:t>
      </w:r>
      <w:r w:rsidRPr="003A70CE">
        <w:rPr>
          <w:b/>
          <w:bCs/>
        </w:rPr>
        <w:t xml:space="preserve"> when sharing common radio resources by the two DUs.</w:t>
      </w:r>
    </w:p>
    <w:p w14:paraId="24A50FF4" w14:textId="77777777" w:rsidR="00BF66BF" w:rsidRPr="003A70CE" w:rsidRDefault="00BF66BF" w:rsidP="00BF66BF">
      <w:pPr>
        <w:spacing w:after="60"/>
        <w:rPr>
          <w:b/>
          <w:bCs/>
        </w:rPr>
      </w:pPr>
      <w:r w:rsidRPr="003A70CE">
        <w:rPr>
          <w:b/>
          <w:bCs/>
        </w:rPr>
        <w:t>Usage of</w:t>
      </w:r>
      <w:r>
        <w:rPr>
          <w:b/>
          <w:bCs/>
        </w:rPr>
        <w:t xml:space="preserve"> the</w:t>
      </w:r>
      <w:r w:rsidRPr="003A70CE">
        <w:rPr>
          <w:b/>
          <w:bCs/>
        </w:rPr>
        <w:t xml:space="preserve"> same PCI:</w:t>
      </w:r>
    </w:p>
    <w:p w14:paraId="6B61D622" w14:textId="7E7AB998" w:rsidR="00BF66BF" w:rsidRDefault="00BF66BF" w:rsidP="00BF66BF">
      <w:r>
        <w:t xml:space="preserve">If the PCIs are the same, the source and target cell (DU) SSB configurations can be identical i.e. a common configuration for both. Consequently, the DU change would result in change of system information including the NCGI change while the PHY layer remain unchanged. The radio link monitoring (RLM) based on SSB measurements would not be affected and no RLF would occur. The change from source cell to target cell could be a switch from source DU to target DU, or the DUs could broadcast in parallel the system information to have the two cells active at the same time. In both cases UEs can be kept connected (unaffected RLM, no RLFs) allowing RRC reconfiguration (incl. HO command) to be sent by the source CU when the target DU is already active. This is because the F1 still remains to the source CU. The RRC re-configuration is sent using the RNTI and security configuration </w:t>
      </w:r>
      <w:r w:rsidR="065F4A1E">
        <w:t xml:space="preserve">of </w:t>
      </w:r>
      <w:r>
        <w:t>the source cell.</w:t>
      </w:r>
    </w:p>
    <w:p w14:paraId="2360D608" w14:textId="51090249" w:rsidR="00BF66BF" w:rsidRDefault="00BF66BF" w:rsidP="00BF66BF">
      <w:pPr>
        <w:rPr>
          <w:b/>
          <w:bCs/>
        </w:rPr>
      </w:pPr>
      <w:r w:rsidRPr="003A70CE">
        <w:rPr>
          <w:b/>
          <w:bCs/>
        </w:rPr>
        <w:t xml:space="preserve">Observation </w:t>
      </w:r>
      <w:r w:rsidR="003F2379">
        <w:rPr>
          <w:b/>
          <w:bCs/>
        </w:rPr>
        <w:t>9</w:t>
      </w:r>
      <w:r w:rsidRPr="003A70CE">
        <w:rPr>
          <w:b/>
          <w:bCs/>
        </w:rPr>
        <w:t xml:space="preserve">. Using the same PCI for the cells of two DUs </w:t>
      </w:r>
      <w:r w:rsidR="74F143DB" w:rsidRPr="1A68C6D2">
        <w:rPr>
          <w:b/>
          <w:bCs/>
        </w:rPr>
        <w:t xml:space="preserve">would </w:t>
      </w:r>
      <w:r w:rsidRPr="003A70CE">
        <w:rPr>
          <w:b/>
          <w:bCs/>
        </w:rPr>
        <w:t>imply common SSB configurations and no changes in PHY layer.</w:t>
      </w:r>
      <w:r>
        <w:rPr>
          <w:b/>
          <w:bCs/>
        </w:rPr>
        <w:t xml:space="preserve"> DU change would result in SI change including change of NCGI.</w:t>
      </w:r>
    </w:p>
    <w:p w14:paraId="54FFB829" w14:textId="507F6E5E" w:rsidR="00BF66BF" w:rsidRDefault="00BF66BF" w:rsidP="00BF66BF">
      <w:pPr>
        <w:rPr>
          <w:b/>
          <w:bCs/>
        </w:rPr>
      </w:pPr>
      <w:r>
        <w:rPr>
          <w:b/>
          <w:bCs/>
        </w:rPr>
        <w:t xml:space="preserve">Observation </w:t>
      </w:r>
      <w:r w:rsidR="003F2379">
        <w:rPr>
          <w:b/>
          <w:bCs/>
        </w:rPr>
        <w:t>10</w:t>
      </w:r>
      <w:r>
        <w:rPr>
          <w:b/>
          <w:bCs/>
        </w:rPr>
        <w:t>. DU change could be a one-time switch or the cells of the DUs can be active during the migration without RLFs caused to UEs.</w:t>
      </w:r>
    </w:p>
    <w:p w14:paraId="7148F321" w14:textId="77777777" w:rsidR="00BF66BF" w:rsidRDefault="00BF66BF" w:rsidP="00BF66BF">
      <w:r>
        <w:lastRenderedPageBreak/>
        <w:t>The scheduling on MAC layers of the two DUs can be tightly coordinated or even common allowing all radio resources to be available for traffic of both DUs. This would enable efficient utilization of radio resources through the execution of DU migration.</w:t>
      </w:r>
    </w:p>
    <w:p w14:paraId="16A42AF5" w14:textId="4C295E8F" w:rsidR="00BF66BF" w:rsidRPr="003A70CE" w:rsidRDefault="00BF66BF" w:rsidP="00BF66BF">
      <w:pPr>
        <w:rPr>
          <w:b/>
          <w:bCs/>
        </w:rPr>
      </w:pPr>
      <w:r w:rsidRPr="003A70CE">
        <w:rPr>
          <w:b/>
          <w:bCs/>
        </w:rPr>
        <w:t xml:space="preserve">Observation </w:t>
      </w:r>
      <w:r w:rsidR="00F4430A">
        <w:rPr>
          <w:b/>
          <w:bCs/>
        </w:rPr>
        <w:t>1</w:t>
      </w:r>
      <w:r w:rsidR="003F2379">
        <w:rPr>
          <w:b/>
          <w:bCs/>
        </w:rPr>
        <w:t>1</w:t>
      </w:r>
      <w:r w:rsidRPr="003A70CE">
        <w:rPr>
          <w:b/>
          <w:bCs/>
        </w:rPr>
        <w:t xml:space="preserve">. </w:t>
      </w:r>
      <w:r w:rsidRPr="1A68C6D2">
        <w:rPr>
          <w:b/>
          <w:bCs/>
        </w:rPr>
        <w:t xml:space="preserve">Joint </w:t>
      </w:r>
      <w:r w:rsidR="42D39158" w:rsidRPr="1A68C6D2">
        <w:rPr>
          <w:b/>
          <w:bCs/>
        </w:rPr>
        <w:t>or tightly coordinated</w:t>
      </w:r>
      <w:r w:rsidRPr="003A70CE">
        <w:rPr>
          <w:b/>
          <w:bCs/>
        </w:rPr>
        <w:t xml:space="preserve"> scheduling of the DUs would enable efficient utilization of radio resourced during the migration procedure.</w:t>
      </w:r>
    </w:p>
    <w:p w14:paraId="3310B71F" w14:textId="0763088F" w:rsidR="00BF66BF" w:rsidRDefault="00BF66BF" w:rsidP="00BF66BF">
      <w:r>
        <w:t xml:space="preserve">If the DU change is a one-time switch, the system information are not sent in parallel. This option would require coordination between DUs so that the RRC reconfiguration (with source cell RNTI and security) from the source CU can be sent when the target DU is already active. However, this is IAB-node internal operation and could be handled by implementation. Furthermore, UEs not having received yet the RRC reconfiguration when the DU is already changed, may have ambiguous behaviour if they read system information noticing that the cell has changed. This </w:t>
      </w:r>
      <w:r w:rsidR="7CADD98C">
        <w:t>may</w:t>
      </w:r>
      <w:r>
        <w:t xml:space="preserve">, however, be non-critical as </w:t>
      </w:r>
      <w:r w:rsidR="2132B30E">
        <w:t xml:space="preserve">this may be experienced by </w:t>
      </w:r>
      <w:r>
        <w:t xml:space="preserve">some UEs only. </w:t>
      </w:r>
      <w:r w:rsidR="57A8B586">
        <w:t>I</w:t>
      </w:r>
      <w:r>
        <w:t xml:space="preserve">f </w:t>
      </w:r>
      <w:r w:rsidR="3393B41C">
        <w:t xml:space="preserve">the call is </w:t>
      </w:r>
      <w:r>
        <w:t>dropp</w:t>
      </w:r>
      <w:r w:rsidR="6FE49461">
        <w:t>ed for some UEs,</w:t>
      </w:r>
      <w:r>
        <w:t xml:space="preserve"> the connection can </w:t>
      </w:r>
      <w:r w:rsidR="693A22BD">
        <w:t xml:space="preserve">be recovered with </w:t>
      </w:r>
      <w:r>
        <w:t>re-establishment likely via the same IAB-node. The re-establishment could be successful by context UE fetching from the source CU to the target CU.</w:t>
      </w:r>
    </w:p>
    <w:p w14:paraId="234DE9FE" w14:textId="0593D55C" w:rsidR="00BF66BF" w:rsidRDefault="00BF66BF" w:rsidP="00BF66BF">
      <w:pPr>
        <w:rPr>
          <w:b/>
          <w:bCs/>
        </w:rPr>
      </w:pPr>
      <w:r>
        <w:rPr>
          <w:b/>
          <w:bCs/>
        </w:rPr>
        <w:t xml:space="preserve">Observation </w:t>
      </w:r>
      <w:r w:rsidR="00F4430A">
        <w:rPr>
          <w:b/>
          <w:bCs/>
        </w:rPr>
        <w:t>1</w:t>
      </w:r>
      <w:r w:rsidR="003F2379">
        <w:rPr>
          <w:b/>
          <w:bCs/>
        </w:rPr>
        <w:t>2</w:t>
      </w:r>
      <w:r>
        <w:rPr>
          <w:b/>
          <w:bCs/>
        </w:rPr>
        <w:t>. If the DU change is a one-time switch, the RRC reconfiguration (incl. HO command) from the source CU should be sent when the target DU is already active. Source cell RNTI and security shall be used.</w:t>
      </w:r>
    </w:p>
    <w:p w14:paraId="7F1684EB" w14:textId="54CB583B" w:rsidR="00BF66BF" w:rsidRDefault="00BF66BF" w:rsidP="00BF66BF">
      <w:pPr>
        <w:rPr>
          <w:b/>
          <w:bCs/>
        </w:rPr>
      </w:pPr>
      <w:r>
        <w:rPr>
          <w:b/>
          <w:bCs/>
        </w:rPr>
        <w:t xml:space="preserve">Observation </w:t>
      </w:r>
      <w:r w:rsidR="00F4430A">
        <w:rPr>
          <w:b/>
          <w:bCs/>
        </w:rPr>
        <w:t>1</w:t>
      </w:r>
      <w:r w:rsidR="003F2379">
        <w:rPr>
          <w:b/>
          <w:bCs/>
        </w:rPr>
        <w:t>3</w:t>
      </w:r>
      <w:r>
        <w:rPr>
          <w:b/>
          <w:bCs/>
        </w:rPr>
        <w:t>. The UE behaviour may be ambiguous in case the UE reads (changed) system information before receiving RRC re-configuration from the source CU.</w:t>
      </w:r>
    </w:p>
    <w:p w14:paraId="1DF62ECC" w14:textId="4F697D03" w:rsidR="00BF66BF" w:rsidRPr="003A70CE" w:rsidRDefault="00BF66BF" w:rsidP="00BF66BF">
      <w:r>
        <w:t>As there are some open issues, further study would be need</w:t>
      </w:r>
      <w:r w:rsidR="000E02D7">
        <w:t>ed</w:t>
      </w:r>
      <w:r>
        <w:t xml:space="preserve"> to verify the feasibility to use the same PCI and SSB configurations in the cells of the two logical DUs.</w:t>
      </w:r>
    </w:p>
    <w:p w14:paraId="086E12AB" w14:textId="38162BA8" w:rsidR="00BF66BF" w:rsidRPr="003A70CE" w:rsidRDefault="00BF66BF" w:rsidP="00BF66BF">
      <w:pPr>
        <w:rPr>
          <w:b/>
          <w:bCs/>
        </w:rPr>
      </w:pPr>
      <w:r>
        <w:rPr>
          <w:b/>
          <w:bCs/>
        </w:rPr>
        <w:t xml:space="preserve">Proposal </w:t>
      </w:r>
      <w:r w:rsidR="00F4430A">
        <w:rPr>
          <w:b/>
          <w:bCs/>
        </w:rPr>
        <w:t>3</w:t>
      </w:r>
      <w:r>
        <w:rPr>
          <w:b/>
          <w:bCs/>
        </w:rPr>
        <w:t xml:space="preserve">. RAN2 to discuss the feasibility to use the same PCI and SSB configuration in the cells of </w:t>
      </w:r>
      <w:r w:rsidR="0B42FC93" w:rsidRPr="1A68C6D2">
        <w:rPr>
          <w:b/>
          <w:bCs/>
        </w:rPr>
        <w:t xml:space="preserve">the </w:t>
      </w:r>
      <w:r>
        <w:rPr>
          <w:b/>
          <w:bCs/>
        </w:rPr>
        <w:t>two logical DUs.</w:t>
      </w:r>
    </w:p>
    <w:p w14:paraId="634E3A29" w14:textId="09F9C78C" w:rsidR="00D8026D" w:rsidRDefault="00D8026D" w:rsidP="00D8026D">
      <w:pPr>
        <w:pStyle w:val="Heading2"/>
      </w:pPr>
      <w:r>
        <w:t>3.</w:t>
      </w:r>
      <w:r w:rsidR="008E302D">
        <w:t>3</w:t>
      </w:r>
      <w:r>
        <w:tab/>
      </w:r>
      <w:r w:rsidR="008E302D">
        <w:t xml:space="preserve">Group mobility </w:t>
      </w:r>
    </w:p>
    <w:p w14:paraId="309403D2" w14:textId="7D4C024E" w:rsidR="008E302D" w:rsidRDefault="008E302D" w:rsidP="008E302D">
      <w:pPr>
        <w:rPr>
          <w:lang w:val="en-US"/>
        </w:rPr>
      </w:pPr>
      <w:r w:rsidRPr="0CA9C544">
        <w:rPr>
          <w:lang w:val="en-US"/>
        </w:rPr>
        <w:t xml:space="preserve">A mobile IAB-node located on a moving object (e.g. a subway, bus or train) will provide wireless access to a UE inside or outside the moving object. This implies that a radio cell(s), provided by the mobile IAB-node, is/are “moving” among fixed radio cells provided by macro base station.  UEs connected to a mobile IAB (e.g., bus or train), as all UEs normally configured with the same cell, will more or less have to start simultaneously the re-connection or re-establishment when the serving mobile IAB approaches its terminating point. Taking into account that many UEs are served by a mobile-IAB, e.g. within a train, subway or bus, this will </w:t>
      </w:r>
      <w:r w:rsidR="0087242B">
        <w:rPr>
          <w:lang w:val="en-US"/>
        </w:rPr>
        <w:t xml:space="preserve">require </w:t>
      </w:r>
      <w:r w:rsidRPr="0CA9C544">
        <w:rPr>
          <w:lang w:val="en-US"/>
        </w:rPr>
        <w:t xml:space="preserve">to </w:t>
      </w:r>
      <w:r w:rsidR="00234349">
        <w:rPr>
          <w:lang w:val="en-US"/>
        </w:rPr>
        <w:t>mitigate</w:t>
      </w:r>
      <w:r w:rsidRPr="0CA9C544">
        <w:rPr>
          <w:lang w:val="en-US"/>
        </w:rPr>
        <w:t xml:space="preserve"> an unwanted signaling storm and failure risk while terminating access to a mobile IAB/changing the cell and (re)attempting to access a service.</w:t>
      </w:r>
    </w:p>
    <w:p w14:paraId="16256AFB" w14:textId="4220AE42" w:rsidR="00874E16" w:rsidRPr="0098725C" w:rsidRDefault="0098725C" w:rsidP="0098725C">
      <w:r>
        <w:rPr>
          <w:lang w:val="en-US"/>
        </w:rPr>
        <w:t>In that context, RAN2#119-e agreed:</w:t>
      </w:r>
    </w:p>
    <w:p w14:paraId="3136A39E" w14:textId="77777777" w:rsidR="0098725C" w:rsidRPr="002D350F" w:rsidRDefault="0098725C" w:rsidP="0098725C">
      <w:pPr>
        <w:pStyle w:val="Agreement"/>
        <w:numPr>
          <w:ilvl w:val="0"/>
          <w:numId w:val="14"/>
        </w:numPr>
        <w:rPr>
          <w:sz w:val="18"/>
          <w:szCs w:val="18"/>
        </w:rPr>
      </w:pPr>
      <w:r w:rsidRPr="002D350F">
        <w:rPr>
          <w:sz w:val="18"/>
          <w:szCs w:val="18"/>
        </w:rPr>
        <w:t xml:space="preserve">R2 assumes that CHO or delayed RRC config could be the baseline for group mobility (FFS if could be applicable for mobility of IAB MT), i.e. with a preparation in advance (not immediately) of the execution. </w:t>
      </w:r>
    </w:p>
    <w:p w14:paraId="0271415D" w14:textId="77777777" w:rsidR="007A22C2" w:rsidRDefault="007A22C2" w:rsidP="007A22C2">
      <w:pPr>
        <w:overflowPunct w:val="0"/>
        <w:autoSpaceDE w:val="0"/>
        <w:autoSpaceDN w:val="0"/>
        <w:adjustRightInd w:val="0"/>
        <w:textAlignment w:val="baseline"/>
      </w:pPr>
    </w:p>
    <w:p w14:paraId="1ACFA8FB" w14:textId="3724CAA0" w:rsidR="00C6129D" w:rsidRPr="002D350F" w:rsidRDefault="00FE1E56" w:rsidP="007A22C2">
      <w:pPr>
        <w:overflowPunct w:val="0"/>
        <w:autoSpaceDE w:val="0"/>
        <w:autoSpaceDN w:val="0"/>
        <w:adjustRightInd w:val="0"/>
        <w:textAlignment w:val="baseline"/>
        <w:rPr>
          <w:rStyle w:val="normaltextrun"/>
          <w:color w:val="000000"/>
          <w:shd w:val="clear" w:color="auto" w:fill="FFFFFF"/>
        </w:rPr>
      </w:pPr>
      <w:r w:rsidRPr="002D350F">
        <w:rPr>
          <w:rStyle w:val="normaltextrun"/>
          <w:color w:val="000000"/>
          <w:shd w:val="clear" w:color="auto" w:fill="FFFFFF"/>
        </w:rPr>
        <w:t xml:space="preserve">The group handover </w:t>
      </w:r>
      <w:r w:rsidR="00F039CC" w:rsidRPr="002D350F">
        <w:rPr>
          <w:rStyle w:val="normaltextrun"/>
          <w:color w:val="000000"/>
          <w:shd w:val="clear" w:color="auto" w:fill="FFFFFF"/>
        </w:rPr>
        <w:t xml:space="preserve">is required for full migration, </w:t>
      </w:r>
      <w:r w:rsidR="00B54D6D" w:rsidRPr="002D350F">
        <w:rPr>
          <w:rStyle w:val="normaltextrun"/>
          <w:color w:val="000000"/>
          <w:shd w:val="clear" w:color="auto" w:fill="FFFFFF"/>
        </w:rPr>
        <w:t>(performed after partial migration)</w:t>
      </w:r>
      <w:r w:rsidR="00A05699" w:rsidRPr="002D350F">
        <w:rPr>
          <w:rStyle w:val="normaltextrun"/>
          <w:color w:val="000000"/>
          <w:shd w:val="clear" w:color="auto" w:fill="FFFFFF"/>
        </w:rPr>
        <w:t>. Thus, i</w:t>
      </w:r>
      <w:r w:rsidR="00C6129D" w:rsidRPr="002D350F">
        <w:rPr>
          <w:rStyle w:val="normaltextrun"/>
          <w:color w:val="000000"/>
          <w:shd w:val="clear" w:color="auto" w:fill="FFFFFF"/>
        </w:rPr>
        <w:t xml:space="preserve">f using current regular Handover, the source donor can initiate the Xn HO procedure to migrate the connected UE. It is up to </w:t>
      </w:r>
      <w:r w:rsidR="00912387">
        <w:rPr>
          <w:rStyle w:val="normaltextrun"/>
          <w:color w:val="000000"/>
          <w:shd w:val="clear" w:color="auto" w:fill="FFFFFF"/>
        </w:rPr>
        <w:t xml:space="preserve">RAN3 and </w:t>
      </w:r>
      <w:r w:rsidR="00C6129D" w:rsidRPr="002D350F">
        <w:rPr>
          <w:rStyle w:val="normaltextrun"/>
          <w:color w:val="000000"/>
          <w:shd w:val="clear" w:color="auto" w:fill="FFFFFF"/>
        </w:rPr>
        <w:t>the source donor’s implementation, e.g. initiate the Xn HO procedure for the connected UEs one by one, or initiate parallel Xn HO procedures for multiple connected UEs or all connected UEs.</w:t>
      </w:r>
      <w:r w:rsidR="00A05699">
        <w:rPr>
          <w:rStyle w:val="normaltextrun"/>
          <w:color w:val="000000"/>
          <w:shd w:val="clear" w:color="auto" w:fill="FFFFFF"/>
        </w:rPr>
        <w:t xml:space="preserve"> </w:t>
      </w:r>
      <w:r w:rsidR="00A05699">
        <w:t xml:space="preserve">There is no urgency to HO all UEs </w:t>
      </w:r>
      <w:r w:rsidR="00AB5939">
        <w:t>at once.</w:t>
      </w:r>
    </w:p>
    <w:p w14:paraId="1683A4CE" w14:textId="082639DA" w:rsidR="007A22C2" w:rsidRPr="002D350F" w:rsidRDefault="00C6129D" w:rsidP="002D350F">
      <w:pPr>
        <w:overflowPunct w:val="0"/>
        <w:autoSpaceDE w:val="0"/>
        <w:autoSpaceDN w:val="0"/>
        <w:adjustRightInd w:val="0"/>
        <w:textAlignment w:val="baseline"/>
        <w:rPr>
          <w:b/>
          <w:bCs/>
        </w:rPr>
      </w:pPr>
      <w:r w:rsidRPr="002D350F">
        <w:rPr>
          <w:rStyle w:val="normaltextrun"/>
          <w:b/>
          <w:bCs/>
          <w:color w:val="000000"/>
          <w:shd w:val="clear" w:color="auto" w:fill="FFFFFF"/>
        </w:rPr>
        <w:t>Observation</w:t>
      </w:r>
      <w:r w:rsidR="00370C69" w:rsidRPr="002D350F">
        <w:rPr>
          <w:rStyle w:val="normaltextrun"/>
          <w:b/>
          <w:bCs/>
          <w:color w:val="000000"/>
          <w:shd w:val="clear" w:color="auto" w:fill="FFFFFF"/>
        </w:rPr>
        <w:t xml:space="preserve"> </w:t>
      </w:r>
      <w:r w:rsidR="009315F5">
        <w:rPr>
          <w:rStyle w:val="normaltextrun"/>
          <w:b/>
          <w:bCs/>
          <w:color w:val="000000"/>
          <w:shd w:val="clear" w:color="auto" w:fill="FFFFFF"/>
        </w:rPr>
        <w:t>1</w:t>
      </w:r>
      <w:r w:rsidR="003F2379">
        <w:rPr>
          <w:rStyle w:val="normaltextrun"/>
          <w:b/>
          <w:bCs/>
          <w:color w:val="000000"/>
          <w:shd w:val="clear" w:color="auto" w:fill="FFFFFF"/>
        </w:rPr>
        <w:t>4</w:t>
      </w:r>
      <w:r w:rsidR="00370C69" w:rsidRPr="002D350F">
        <w:rPr>
          <w:rStyle w:val="normaltextrun"/>
          <w:b/>
          <w:bCs/>
          <w:color w:val="000000"/>
          <w:shd w:val="clear" w:color="auto" w:fill="FFFFFF"/>
        </w:rPr>
        <w:t xml:space="preserve">: </w:t>
      </w:r>
      <w:r w:rsidR="00C60C10" w:rsidRPr="002D350F">
        <w:rPr>
          <w:rStyle w:val="normaltextrun"/>
          <w:b/>
          <w:bCs/>
          <w:color w:val="000000"/>
          <w:shd w:val="clear" w:color="auto" w:fill="FFFFFF"/>
        </w:rPr>
        <w:t xml:space="preserve">Group </w:t>
      </w:r>
      <w:r w:rsidR="007A22C2" w:rsidRPr="002D350F">
        <w:rPr>
          <w:b/>
          <w:bCs/>
        </w:rPr>
        <w:t>UE</w:t>
      </w:r>
      <w:r w:rsidR="00C60C10" w:rsidRPr="002D350F">
        <w:rPr>
          <w:b/>
          <w:bCs/>
        </w:rPr>
        <w:t>s</w:t>
      </w:r>
      <w:r w:rsidR="007A22C2" w:rsidRPr="002D350F">
        <w:rPr>
          <w:b/>
          <w:bCs/>
        </w:rPr>
        <w:t xml:space="preserve"> mobility can apply normal HO procedures. HO parameters may be mobile specific for the cells served by the mobile IAB-node.</w:t>
      </w:r>
    </w:p>
    <w:p w14:paraId="337DF258" w14:textId="367CD0DB" w:rsidR="00874E16" w:rsidRPr="002D350F" w:rsidRDefault="00E05820" w:rsidP="008E302D">
      <w:pPr>
        <w:rPr>
          <w:b/>
        </w:rPr>
      </w:pPr>
      <w:r w:rsidRPr="002D350F">
        <w:rPr>
          <w:b/>
          <w:bCs/>
        </w:rPr>
        <w:t xml:space="preserve">Proposal </w:t>
      </w:r>
      <w:r w:rsidR="006A0DEA">
        <w:rPr>
          <w:b/>
          <w:bCs/>
        </w:rPr>
        <w:t>4</w:t>
      </w:r>
      <w:r w:rsidRPr="002D350F">
        <w:rPr>
          <w:b/>
          <w:bCs/>
        </w:rPr>
        <w:t xml:space="preserve">: </w:t>
      </w:r>
      <w:r w:rsidR="00AC62FC" w:rsidRPr="002D350F">
        <w:rPr>
          <w:b/>
          <w:bCs/>
        </w:rPr>
        <w:t xml:space="preserve">For </w:t>
      </w:r>
      <w:r w:rsidR="00132970">
        <w:rPr>
          <w:b/>
          <w:bCs/>
        </w:rPr>
        <w:t xml:space="preserve">group </w:t>
      </w:r>
      <w:r w:rsidR="007E4C7A" w:rsidRPr="002D350F">
        <w:rPr>
          <w:b/>
          <w:bCs/>
        </w:rPr>
        <w:t>m</w:t>
      </w:r>
      <w:r w:rsidR="005E4349" w:rsidRPr="002D350F">
        <w:rPr>
          <w:b/>
          <w:bCs/>
        </w:rPr>
        <w:t>obility</w:t>
      </w:r>
      <w:r w:rsidR="00D67A1C">
        <w:rPr>
          <w:b/>
          <w:bCs/>
        </w:rPr>
        <w:t>,</w:t>
      </w:r>
      <w:r w:rsidR="005E4349" w:rsidRPr="002D350F">
        <w:rPr>
          <w:b/>
          <w:bCs/>
        </w:rPr>
        <w:t xml:space="preserve"> </w:t>
      </w:r>
      <w:r w:rsidRPr="002D350F">
        <w:rPr>
          <w:b/>
          <w:bCs/>
        </w:rPr>
        <w:t xml:space="preserve">current </w:t>
      </w:r>
      <w:r w:rsidR="00D7720D">
        <w:rPr>
          <w:b/>
          <w:bCs/>
        </w:rPr>
        <w:t>(</w:t>
      </w:r>
      <w:r w:rsidR="001A2616">
        <w:rPr>
          <w:b/>
          <w:bCs/>
        </w:rPr>
        <w:t>C</w:t>
      </w:r>
      <w:r w:rsidR="000011DD">
        <w:rPr>
          <w:b/>
          <w:bCs/>
        </w:rPr>
        <w:t>)</w:t>
      </w:r>
      <w:r w:rsidR="00B83168">
        <w:rPr>
          <w:b/>
          <w:bCs/>
        </w:rPr>
        <w:t>H</w:t>
      </w:r>
      <w:r w:rsidR="000011DD">
        <w:rPr>
          <w:b/>
          <w:bCs/>
        </w:rPr>
        <w:t>O</w:t>
      </w:r>
      <w:r w:rsidRPr="002D350F">
        <w:rPr>
          <w:b/>
          <w:bCs/>
        </w:rPr>
        <w:t xml:space="preserve"> procedure</w:t>
      </w:r>
      <w:r w:rsidR="004820E0">
        <w:rPr>
          <w:b/>
          <w:bCs/>
        </w:rPr>
        <w:t>s</w:t>
      </w:r>
      <w:r w:rsidR="00104C26" w:rsidRPr="002D350F">
        <w:rPr>
          <w:b/>
          <w:bCs/>
        </w:rPr>
        <w:t xml:space="preserve"> </w:t>
      </w:r>
      <w:r w:rsidR="000011DD">
        <w:rPr>
          <w:b/>
          <w:bCs/>
        </w:rPr>
        <w:t>are</w:t>
      </w:r>
      <w:r w:rsidR="00104C26" w:rsidRPr="002D350F">
        <w:rPr>
          <w:b/>
          <w:bCs/>
        </w:rPr>
        <w:t xml:space="preserve"> reused</w:t>
      </w:r>
      <w:r w:rsidR="003A6D88" w:rsidRPr="002D350F">
        <w:rPr>
          <w:b/>
          <w:bCs/>
        </w:rPr>
        <w:t xml:space="preserve"> with detailed parameters</w:t>
      </w:r>
      <w:r w:rsidR="009822E8" w:rsidRPr="002D350F">
        <w:rPr>
          <w:b/>
          <w:bCs/>
        </w:rPr>
        <w:t xml:space="preserve"> settings</w:t>
      </w:r>
      <w:r w:rsidR="003A6D88" w:rsidRPr="002D350F">
        <w:rPr>
          <w:b/>
          <w:bCs/>
        </w:rPr>
        <w:t xml:space="preserve"> </w:t>
      </w:r>
      <w:r w:rsidR="00092C9E" w:rsidRPr="002D350F">
        <w:rPr>
          <w:b/>
          <w:bCs/>
        </w:rPr>
        <w:t>(</w:t>
      </w:r>
      <w:r w:rsidR="009822E8" w:rsidRPr="002D350F">
        <w:rPr>
          <w:b/>
          <w:bCs/>
        </w:rPr>
        <w:t xml:space="preserve">e.g., </w:t>
      </w:r>
      <w:r w:rsidR="00092C9E" w:rsidRPr="002D350F">
        <w:rPr>
          <w:b/>
          <w:bCs/>
        </w:rPr>
        <w:t xml:space="preserve">possibly </w:t>
      </w:r>
      <w:r w:rsidR="005D4D4A" w:rsidRPr="002D350F">
        <w:rPr>
          <w:b/>
          <w:bCs/>
        </w:rPr>
        <w:t>diverse</w:t>
      </w:r>
      <w:r w:rsidR="008B2057" w:rsidRPr="002D350F">
        <w:rPr>
          <w:b/>
          <w:bCs/>
        </w:rPr>
        <w:t xml:space="preserve"> </w:t>
      </w:r>
      <w:r w:rsidR="009822E8" w:rsidRPr="002D350F">
        <w:rPr>
          <w:b/>
          <w:bCs/>
        </w:rPr>
        <w:t xml:space="preserve">timing) </w:t>
      </w:r>
      <w:r w:rsidR="00D75B6D" w:rsidRPr="002D350F">
        <w:rPr>
          <w:b/>
          <w:bCs/>
        </w:rPr>
        <w:t>left to implementation.</w:t>
      </w:r>
    </w:p>
    <w:p w14:paraId="19EB740D" w14:textId="578EAF56" w:rsidR="00D8026D" w:rsidRDefault="008E302D" w:rsidP="000011DD">
      <w:pPr>
        <w:pStyle w:val="Heading2"/>
      </w:pPr>
      <w:r>
        <w:t>3.</w:t>
      </w:r>
      <w:r w:rsidR="005D7D39">
        <w:t>4</w:t>
      </w:r>
      <w:r>
        <w:tab/>
        <w:t>RACH-less HO</w:t>
      </w:r>
    </w:p>
    <w:p w14:paraId="59C6F422" w14:textId="33F9E76F" w:rsidR="0098725C" w:rsidRDefault="0098725C" w:rsidP="0098725C">
      <w:r>
        <w:t xml:space="preserve">RAN2#119-e </w:t>
      </w:r>
      <w:r w:rsidR="00C82D8C">
        <w:t xml:space="preserve">has made the following </w:t>
      </w:r>
      <w:r>
        <w:t>agreement:</w:t>
      </w:r>
    </w:p>
    <w:p w14:paraId="662CF9B3" w14:textId="77777777" w:rsidR="0098725C" w:rsidRPr="005D7D39" w:rsidRDefault="0098725C" w:rsidP="0098725C">
      <w:pPr>
        <w:pStyle w:val="Agreement"/>
        <w:rPr>
          <w:sz w:val="18"/>
          <w:szCs w:val="18"/>
        </w:rPr>
      </w:pPr>
      <w:r w:rsidRPr="005D7D39">
        <w:rPr>
          <w:sz w:val="18"/>
          <w:szCs w:val="18"/>
        </w:rPr>
        <w:t xml:space="preserve">R2 assumes RACH-less procedure may be considered for on-board RRC_CONNECTED UEs, which are to be handed over together with the mobile IAB-node (would depend also on the assumptions for UL synch). </w:t>
      </w:r>
    </w:p>
    <w:p w14:paraId="18D2D0B6" w14:textId="77777777" w:rsidR="0098725C" w:rsidRPr="009315F5" w:rsidRDefault="0098725C" w:rsidP="0098725C"/>
    <w:p w14:paraId="1B6B8366" w14:textId="65E67ACE" w:rsidR="008F2FBD" w:rsidRPr="009315F5" w:rsidRDefault="00F01D75" w:rsidP="00B70807">
      <w:r w:rsidRPr="009315F5">
        <w:lastRenderedPageBreak/>
        <w:t xml:space="preserve">Known from Rel-14 RACH-less HO solution </w:t>
      </w:r>
      <w:r w:rsidR="0024375A" w:rsidRPr="009315F5">
        <w:t xml:space="preserve">aimed to </w:t>
      </w:r>
      <w:r w:rsidR="00930C61" w:rsidRPr="009315F5">
        <w:t>achieve</w:t>
      </w:r>
      <w:r w:rsidRPr="009315F5">
        <w:t xml:space="preserve"> reductions in the data connectivity interruption time </w:t>
      </w:r>
      <w:r w:rsidR="00930C61" w:rsidRPr="009315F5">
        <w:t xml:space="preserve">and reduced overall handover execution time </w:t>
      </w:r>
      <w:r w:rsidRPr="009315F5">
        <w:t xml:space="preserve">at each handover, </w:t>
      </w:r>
      <w:r w:rsidR="00930C61" w:rsidRPr="009315F5">
        <w:t>through skipping the</w:t>
      </w:r>
      <w:r w:rsidRPr="009315F5">
        <w:t xml:space="preserve"> random access in the target cell</w:t>
      </w:r>
      <w:r w:rsidR="00930C61" w:rsidRPr="009315F5">
        <w:t xml:space="preserve">. The procedure </w:t>
      </w:r>
      <w:r w:rsidR="004B60C8" w:rsidRPr="009315F5">
        <w:t xml:space="preserve">required </w:t>
      </w:r>
      <w:r w:rsidR="004B60C8" w:rsidRPr="004A1347">
        <w:t xml:space="preserve">the UE </w:t>
      </w:r>
      <w:r w:rsidR="004B60C8">
        <w:t xml:space="preserve">to </w:t>
      </w:r>
      <w:r w:rsidR="004B60C8" w:rsidRPr="004A1347">
        <w:t xml:space="preserve">accesses the target cell via the uplink grant preallocated to the UE in the </w:t>
      </w:r>
      <w:r w:rsidR="004B60C8">
        <w:t xml:space="preserve">preconfigured </w:t>
      </w:r>
      <w:r w:rsidR="004B60C8" w:rsidRPr="004A1347">
        <w:t xml:space="preserve">RRC message. </w:t>
      </w:r>
      <w:r w:rsidR="000400FE" w:rsidRPr="009315F5">
        <w:t xml:space="preserve">For mobile-IAB operation, RACH-less </w:t>
      </w:r>
      <w:r w:rsidR="00D65F68" w:rsidRPr="009315F5">
        <w:t xml:space="preserve">procedure </w:t>
      </w:r>
      <w:r w:rsidR="003515DB" w:rsidRPr="009315F5">
        <w:t xml:space="preserve">would need to be applied </w:t>
      </w:r>
      <w:r w:rsidR="004B60C8" w:rsidRPr="009315F5">
        <w:t xml:space="preserve">also </w:t>
      </w:r>
      <w:r w:rsidR="00F0376F" w:rsidRPr="009315F5">
        <w:t>for a group mobility</w:t>
      </w:r>
      <w:r w:rsidR="00F112DB" w:rsidRPr="009315F5">
        <w:t xml:space="preserve">, which would </w:t>
      </w:r>
      <w:r w:rsidR="00764144" w:rsidRPr="009315F5">
        <w:t xml:space="preserve">require </w:t>
      </w:r>
      <w:r w:rsidR="00B16CA1" w:rsidRPr="009315F5">
        <w:t xml:space="preserve">a group </w:t>
      </w:r>
      <w:r w:rsidR="00764144" w:rsidRPr="009315F5">
        <w:t>preallocation of the resources</w:t>
      </w:r>
      <w:r w:rsidR="00A3429E" w:rsidRPr="009315F5">
        <w:t xml:space="preserve"> and de</w:t>
      </w:r>
      <w:r w:rsidR="004B13D7" w:rsidRPr="009315F5">
        <w:t>dicated signalling to all on-board UEs. While the distinction of the UEs from the UEs outside of the mobile-IAB is currently not feasible (as we discuss in 3.1)</w:t>
      </w:r>
      <w:r w:rsidR="00990A39" w:rsidRPr="009315F5">
        <w:t xml:space="preserve">. </w:t>
      </w:r>
      <w:r w:rsidR="00F43180" w:rsidRPr="009315F5">
        <w:t>For the</w:t>
      </w:r>
      <w:r w:rsidR="00B70807" w:rsidRPr="009315F5">
        <w:t>se reasons, and t</w:t>
      </w:r>
      <w:r w:rsidR="004939EC" w:rsidRPr="009315F5">
        <w:t xml:space="preserve">o </w:t>
      </w:r>
      <w:r w:rsidR="00F44DF2" w:rsidRPr="009315F5">
        <w:t>a</w:t>
      </w:r>
      <w:r w:rsidR="004939EC" w:rsidRPr="009315F5">
        <w:t>chieve minimized impact on IAB-node functions</w:t>
      </w:r>
      <w:r w:rsidR="00322635" w:rsidRPr="009315F5">
        <w:t>, we suggest not to introduce mobile-IAB specific RACH-less</w:t>
      </w:r>
      <w:r w:rsidR="009315F5">
        <w:t>.</w:t>
      </w:r>
      <w:r w:rsidR="00F44DF2" w:rsidRPr="009315F5">
        <w:t xml:space="preserve"> </w:t>
      </w:r>
    </w:p>
    <w:p w14:paraId="069CA7B1" w14:textId="1233C6C1" w:rsidR="008F2FBD" w:rsidRPr="009315F5" w:rsidRDefault="008F2FBD" w:rsidP="009315F5">
      <w:pPr>
        <w:rPr>
          <w:b/>
          <w:bCs/>
        </w:rPr>
      </w:pPr>
      <w:r w:rsidRPr="009315F5">
        <w:rPr>
          <w:b/>
          <w:bCs/>
        </w:rPr>
        <w:t xml:space="preserve">Proposal </w:t>
      </w:r>
      <w:r w:rsidR="009315F5" w:rsidRPr="009315F5">
        <w:rPr>
          <w:b/>
          <w:bCs/>
        </w:rPr>
        <w:t>5</w:t>
      </w:r>
      <w:r w:rsidRPr="009315F5">
        <w:rPr>
          <w:b/>
          <w:bCs/>
        </w:rPr>
        <w:t xml:space="preserve">: </w:t>
      </w:r>
      <w:r w:rsidR="00322635" w:rsidRPr="009315F5">
        <w:rPr>
          <w:b/>
          <w:bCs/>
        </w:rPr>
        <w:t xml:space="preserve">mobile-IAB specific </w:t>
      </w:r>
      <w:r w:rsidRPr="009315F5">
        <w:rPr>
          <w:b/>
          <w:bCs/>
        </w:rPr>
        <w:t xml:space="preserve">RACH-less HO is not </w:t>
      </w:r>
      <w:r w:rsidR="00322635" w:rsidRPr="009315F5">
        <w:rPr>
          <w:b/>
          <w:bCs/>
        </w:rPr>
        <w:t>pursued</w:t>
      </w:r>
      <w:r w:rsidRPr="009315F5">
        <w:rPr>
          <w:b/>
          <w:bCs/>
        </w:rPr>
        <w:t>.   </w:t>
      </w:r>
    </w:p>
    <w:p w14:paraId="510BE96F" w14:textId="27212456" w:rsidR="00D107BC" w:rsidRDefault="00D107BC" w:rsidP="00F066F1">
      <w:pPr>
        <w:pStyle w:val="Heading2"/>
      </w:pPr>
      <w:r>
        <w:t>3.</w:t>
      </w:r>
      <w:r w:rsidR="005D7D39">
        <w:t>5</w:t>
      </w:r>
      <w:r>
        <w:tab/>
        <w:t>Preventing inter-donor IAB-node handover to a mobile-IAB cell</w:t>
      </w:r>
    </w:p>
    <w:p w14:paraId="1B9582A7" w14:textId="77777777" w:rsidR="00D107BC" w:rsidRDefault="00D107BC" w:rsidP="00D107BC">
      <w:r>
        <w:t>RAN2#119 agreed:</w:t>
      </w:r>
    </w:p>
    <w:p w14:paraId="51C20D2B" w14:textId="77777777" w:rsidR="00D107BC" w:rsidRPr="000011DD" w:rsidRDefault="00D107BC" w:rsidP="00A2658C">
      <w:pPr>
        <w:pStyle w:val="Agreement"/>
        <w:spacing w:after="120"/>
        <w:ind w:left="1616" w:hanging="357"/>
        <w:rPr>
          <w:sz w:val="18"/>
          <w:szCs w:val="18"/>
        </w:rPr>
      </w:pPr>
      <w:r w:rsidRPr="000011DD">
        <w:rPr>
          <w:sz w:val="18"/>
          <w:szCs w:val="18"/>
        </w:rPr>
        <w:t>The method of not broadcasting “iab-Support” indication, is sufficient to prevent other IAB-node from accessing mobile IAB (without further spec impact).</w:t>
      </w:r>
    </w:p>
    <w:p w14:paraId="78D5B667" w14:textId="77777777" w:rsidR="00D107BC" w:rsidRDefault="00D107BC" w:rsidP="00D107BC">
      <w:r>
        <w:t>We assume that this agreement applies to IAB-node integration only. In the context of handover – and particularly with inter-donor handover in mind, this agreement could suggest that before measurement reporting, an IAB node is required to receive the system information of neighbour cells to refrain from reporting cells broadcasting the “iab-Support” indication. We would like RAN2 to confirm that this is not required.</w:t>
      </w:r>
    </w:p>
    <w:p w14:paraId="39C38C0C" w14:textId="4BA5F341" w:rsidR="00D107BC" w:rsidRPr="009315F5" w:rsidRDefault="00D107BC" w:rsidP="009315F5">
      <w:pPr>
        <w:rPr>
          <w:b/>
          <w:bCs/>
        </w:rPr>
      </w:pPr>
      <w:r w:rsidRPr="009315F5">
        <w:rPr>
          <w:b/>
          <w:bCs/>
        </w:rPr>
        <w:t xml:space="preserve">Proposal </w:t>
      </w:r>
      <w:r w:rsidR="009315F5">
        <w:rPr>
          <w:b/>
          <w:bCs/>
        </w:rPr>
        <w:t>6</w:t>
      </w:r>
      <w:r w:rsidRPr="009315F5">
        <w:rPr>
          <w:b/>
          <w:bCs/>
        </w:rPr>
        <w:t>:</w:t>
      </w:r>
      <w:r w:rsidR="00A2658C">
        <w:rPr>
          <w:b/>
          <w:bCs/>
        </w:rPr>
        <w:t xml:space="preserve"> </w:t>
      </w:r>
      <w:r w:rsidRPr="009315F5">
        <w:rPr>
          <w:b/>
          <w:bCs/>
        </w:rPr>
        <w:t>An IAB node is not required to receive the system information of neighbour cells to refrain from reporting measurements of cells broadcasting the “iab-Support” indication.</w:t>
      </w:r>
    </w:p>
    <w:p w14:paraId="69B7B8E6" w14:textId="3684B279" w:rsidR="009339CB" w:rsidRPr="006E13D1" w:rsidRDefault="004D24C4" w:rsidP="009339CB">
      <w:pPr>
        <w:pStyle w:val="Heading1"/>
      </w:pPr>
      <w:r>
        <w:t>4</w:t>
      </w:r>
      <w:r w:rsidR="009339CB" w:rsidRPr="006E13D1">
        <w:tab/>
      </w:r>
      <w:r w:rsidR="009339CB">
        <w:t>Conclusion</w:t>
      </w:r>
    </w:p>
    <w:p w14:paraId="6E24B0F4" w14:textId="13F55DC6" w:rsidR="009339CB" w:rsidRPr="006E13D1" w:rsidRDefault="009339CB" w:rsidP="009339CB">
      <w:r>
        <w:t xml:space="preserve">This document has made the following </w:t>
      </w:r>
      <w:r w:rsidR="16801597">
        <w:t>proposals</w:t>
      </w:r>
      <w:r>
        <w:t>:</w:t>
      </w:r>
    </w:p>
    <w:p w14:paraId="1CD3AC60" w14:textId="77777777" w:rsidR="00A42EF3" w:rsidRDefault="00A42EF3" w:rsidP="00A42EF3">
      <w:pPr>
        <w:rPr>
          <w:b/>
          <w:bCs/>
        </w:rPr>
      </w:pPr>
      <w:r w:rsidRPr="003A70CE">
        <w:rPr>
          <w:b/>
          <w:bCs/>
        </w:rPr>
        <w:t xml:space="preserve">Proposal </w:t>
      </w:r>
      <w:r>
        <w:rPr>
          <w:b/>
          <w:bCs/>
        </w:rPr>
        <w:t>1</w:t>
      </w:r>
      <w:r w:rsidRPr="003A70CE">
        <w:rPr>
          <w:b/>
          <w:bCs/>
        </w:rPr>
        <w:t xml:space="preserve">. RAN2 to wait RAN3 conclusion on </w:t>
      </w:r>
      <w:r>
        <w:rPr>
          <w:b/>
          <w:bCs/>
        </w:rPr>
        <w:t xml:space="preserve">how the IAB-donor knows the </w:t>
      </w:r>
      <w:r w:rsidRPr="003A70CE">
        <w:rPr>
          <w:b/>
          <w:bCs/>
        </w:rPr>
        <w:t>mobility (state) indication.</w:t>
      </w:r>
    </w:p>
    <w:p w14:paraId="4198DE06" w14:textId="2B9900F9" w:rsidR="00B70807" w:rsidRPr="003A70CE" w:rsidRDefault="00B70807" w:rsidP="00B70807">
      <w:pPr>
        <w:rPr>
          <w:b/>
          <w:bCs/>
        </w:rPr>
      </w:pPr>
      <w:r w:rsidRPr="003A70CE">
        <w:rPr>
          <w:b/>
          <w:bCs/>
        </w:rPr>
        <w:t xml:space="preserve">Proposal </w:t>
      </w:r>
      <w:r w:rsidR="009315F5">
        <w:rPr>
          <w:b/>
          <w:bCs/>
        </w:rPr>
        <w:t>2:</w:t>
      </w:r>
      <w:r w:rsidRPr="003A70CE">
        <w:rPr>
          <w:b/>
          <w:bCs/>
        </w:rPr>
        <w:t xml:space="preserve"> Optimizations for cell (re-)selection behaviour can be de-prioritized in Rel.18</w:t>
      </w:r>
    </w:p>
    <w:p w14:paraId="6054D58A" w14:textId="1BFC9652" w:rsidR="00B70807" w:rsidRPr="003A70CE" w:rsidRDefault="00B70807" w:rsidP="00B70807">
      <w:pPr>
        <w:rPr>
          <w:b/>
          <w:bCs/>
        </w:rPr>
      </w:pPr>
      <w:r>
        <w:rPr>
          <w:b/>
          <w:bCs/>
        </w:rPr>
        <w:t xml:space="preserve">Proposal </w:t>
      </w:r>
      <w:r w:rsidR="009315F5">
        <w:rPr>
          <w:b/>
          <w:bCs/>
        </w:rPr>
        <w:t>3:</w:t>
      </w:r>
      <w:r>
        <w:rPr>
          <w:b/>
          <w:bCs/>
        </w:rPr>
        <w:t xml:space="preserve"> RAN2 to discuss the feasibility to use the same PCI and SSB configuration in the cells of two logical DUs.</w:t>
      </w:r>
    </w:p>
    <w:p w14:paraId="06B9321E" w14:textId="393430D1" w:rsidR="00B70807" w:rsidRPr="002D350F" w:rsidRDefault="00B70807" w:rsidP="00B70807">
      <w:pPr>
        <w:rPr>
          <w:b/>
          <w:bCs/>
        </w:rPr>
      </w:pPr>
      <w:r w:rsidRPr="002D350F">
        <w:rPr>
          <w:b/>
          <w:bCs/>
        </w:rPr>
        <w:t xml:space="preserve">Proposal </w:t>
      </w:r>
      <w:r w:rsidR="009315F5">
        <w:rPr>
          <w:b/>
          <w:bCs/>
        </w:rPr>
        <w:t>4</w:t>
      </w:r>
      <w:r w:rsidRPr="002D350F">
        <w:rPr>
          <w:b/>
          <w:bCs/>
        </w:rPr>
        <w:t xml:space="preserve">: For </w:t>
      </w:r>
      <w:r>
        <w:rPr>
          <w:b/>
          <w:bCs/>
        </w:rPr>
        <w:t xml:space="preserve">group </w:t>
      </w:r>
      <w:r w:rsidRPr="002D350F">
        <w:rPr>
          <w:b/>
          <w:bCs/>
        </w:rPr>
        <w:t>mobility</w:t>
      </w:r>
      <w:r>
        <w:rPr>
          <w:b/>
          <w:bCs/>
        </w:rPr>
        <w:t>,</w:t>
      </w:r>
      <w:r w:rsidRPr="002D350F">
        <w:rPr>
          <w:b/>
          <w:bCs/>
        </w:rPr>
        <w:t xml:space="preserve"> current </w:t>
      </w:r>
      <w:r>
        <w:rPr>
          <w:b/>
          <w:bCs/>
        </w:rPr>
        <w:t>(C)HO</w:t>
      </w:r>
      <w:r w:rsidRPr="002D350F">
        <w:rPr>
          <w:b/>
          <w:bCs/>
        </w:rPr>
        <w:t xml:space="preserve"> procedure</w:t>
      </w:r>
      <w:r>
        <w:rPr>
          <w:b/>
          <w:bCs/>
        </w:rPr>
        <w:t>s</w:t>
      </w:r>
      <w:r w:rsidRPr="002D350F">
        <w:rPr>
          <w:b/>
          <w:bCs/>
        </w:rPr>
        <w:t xml:space="preserve"> </w:t>
      </w:r>
      <w:r>
        <w:rPr>
          <w:b/>
          <w:bCs/>
        </w:rPr>
        <w:t>are</w:t>
      </w:r>
      <w:r w:rsidRPr="002D350F">
        <w:rPr>
          <w:b/>
          <w:bCs/>
        </w:rPr>
        <w:t xml:space="preserve"> reused with detailed parameters settings (e.g., possibly diverse timing) left to implementation.</w:t>
      </w:r>
    </w:p>
    <w:p w14:paraId="55D220CF" w14:textId="77777777" w:rsidR="009315F5" w:rsidRPr="009315F5" w:rsidRDefault="009315F5" w:rsidP="009315F5">
      <w:pPr>
        <w:rPr>
          <w:b/>
          <w:bCs/>
        </w:rPr>
      </w:pPr>
      <w:r w:rsidRPr="009315F5">
        <w:rPr>
          <w:b/>
          <w:bCs/>
        </w:rPr>
        <w:t>Proposal 5: mobile-IAB specific RACH-less HO is not pursued.   </w:t>
      </w:r>
    </w:p>
    <w:p w14:paraId="23243BDF" w14:textId="05DCBDE2" w:rsidR="009315F5" w:rsidRPr="009315F5" w:rsidRDefault="009315F5" w:rsidP="009315F5">
      <w:pPr>
        <w:rPr>
          <w:b/>
          <w:bCs/>
        </w:rPr>
      </w:pPr>
      <w:r w:rsidRPr="009315F5">
        <w:rPr>
          <w:b/>
          <w:bCs/>
        </w:rPr>
        <w:t xml:space="preserve">Proposal </w:t>
      </w:r>
      <w:r>
        <w:rPr>
          <w:b/>
          <w:bCs/>
        </w:rPr>
        <w:t>6</w:t>
      </w:r>
      <w:r w:rsidRPr="009315F5">
        <w:rPr>
          <w:b/>
          <w:bCs/>
        </w:rPr>
        <w:t>:</w:t>
      </w:r>
      <w:r w:rsidR="00A2658C">
        <w:rPr>
          <w:b/>
          <w:bCs/>
        </w:rPr>
        <w:t xml:space="preserve"> </w:t>
      </w:r>
      <w:r w:rsidRPr="009315F5">
        <w:rPr>
          <w:b/>
          <w:bCs/>
        </w:rPr>
        <w:t>An IAB node is not required to receive the system information of neighbour cells to refrain from reporting measurements of cells broadcasting the “iab-Support” indication.</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646C9" w14:textId="77777777" w:rsidR="00A220FC" w:rsidRDefault="00A220FC">
      <w:r>
        <w:separator/>
      </w:r>
    </w:p>
  </w:endnote>
  <w:endnote w:type="continuationSeparator" w:id="0">
    <w:p w14:paraId="6007F387" w14:textId="77777777" w:rsidR="00A220FC" w:rsidRDefault="00A220FC">
      <w:r>
        <w:continuationSeparator/>
      </w:r>
    </w:p>
  </w:endnote>
  <w:endnote w:type="continuationNotice" w:id="1">
    <w:p w14:paraId="71E97219" w14:textId="77777777" w:rsidR="00A220FC" w:rsidRDefault="00A22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KaiTi_GB2312">
    <w:altName w:val="Microsoft YaHei"/>
    <w:charset w:val="86"/>
    <w:family w:val="modern"/>
    <w:pitch w:val="fixed"/>
    <w:sig w:usb0="800002BF" w:usb1="38CF7CFA" w:usb2="00000016" w:usb3="00000000" w:csb0="0004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C8269" w14:textId="77777777" w:rsidR="00A220FC" w:rsidRDefault="00A220FC">
      <w:r>
        <w:separator/>
      </w:r>
    </w:p>
  </w:footnote>
  <w:footnote w:type="continuationSeparator" w:id="0">
    <w:p w14:paraId="4481BECB" w14:textId="77777777" w:rsidR="00A220FC" w:rsidRDefault="00A220FC">
      <w:r>
        <w:continuationSeparator/>
      </w:r>
    </w:p>
  </w:footnote>
  <w:footnote w:type="continuationNotice" w:id="1">
    <w:p w14:paraId="3D14F5F5" w14:textId="77777777" w:rsidR="00A220FC" w:rsidRDefault="00A220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857CD"/>
    <w:multiLevelType w:val="hybridMultilevel"/>
    <w:tmpl w:val="4A7AB648"/>
    <w:lvl w:ilvl="0" w:tplc="6472FD22">
      <w:start w:val="1"/>
      <w:numFmt w:val="bullet"/>
      <w:lvlText w:val=""/>
      <w:lvlJc w:val="left"/>
      <w:pPr>
        <w:tabs>
          <w:tab w:val="num" w:pos="720"/>
        </w:tabs>
        <w:ind w:left="720" w:hanging="360"/>
      </w:pPr>
      <w:rPr>
        <w:rFonts w:ascii="Symbol" w:hAnsi="Symbol" w:hint="default"/>
      </w:rPr>
    </w:lvl>
    <w:lvl w:ilvl="1" w:tplc="90D22E62" w:tentative="1">
      <w:start w:val="1"/>
      <w:numFmt w:val="bullet"/>
      <w:lvlText w:val=""/>
      <w:lvlJc w:val="left"/>
      <w:pPr>
        <w:tabs>
          <w:tab w:val="num" w:pos="1440"/>
        </w:tabs>
        <w:ind w:left="1440" w:hanging="360"/>
      </w:pPr>
      <w:rPr>
        <w:rFonts w:ascii="Symbol" w:hAnsi="Symbol" w:hint="default"/>
      </w:rPr>
    </w:lvl>
    <w:lvl w:ilvl="2" w:tplc="CB807030" w:tentative="1">
      <w:start w:val="1"/>
      <w:numFmt w:val="bullet"/>
      <w:lvlText w:val=""/>
      <w:lvlJc w:val="left"/>
      <w:pPr>
        <w:tabs>
          <w:tab w:val="num" w:pos="2160"/>
        </w:tabs>
        <w:ind w:left="2160" w:hanging="360"/>
      </w:pPr>
      <w:rPr>
        <w:rFonts w:ascii="Symbol" w:hAnsi="Symbol" w:hint="default"/>
      </w:rPr>
    </w:lvl>
    <w:lvl w:ilvl="3" w:tplc="6DE43290" w:tentative="1">
      <w:start w:val="1"/>
      <w:numFmt w:val="bullet"/>
      <w:lvlText w:val=""/>
      <w:lvlJc w:val="left"/>
      <w:pPr>
        <w:tabs>
          <w:tab w:val="num" w:pos="2880"/>
        </w:tabs>
        <w:ind w:left="2880" w:hanging="360"/>
      </w:pPr>
      <w:rPr>
        <w:rFonts w:ascii="Symbol" w:hAnsi="Symbol" w:hint="default"/>
      </w:rPr>
    </w:lvl>
    <w:lvl w:ilvl="4" w:tplc="1DA82174" w:tentative="1">
      <w:start w:val="1"/>
      <w:numFmt w:val="bullet"/>
      <w:lvlText w:val=""/>
      <w:lvlJc w:val="left"/>
      <w:pPr>
        <w:tabs>
          <w:tab w:val="num" w:pos="3600"/>
        </w:tabs>
        <w:ind w:left="3600" w:hanging="360"/>
      </w:pPr>
      <w:rPr>
        <w:rFonts w:ascii="Symbol" w:hAnsi="Symbol" w:hint="default"/>
      </w:rPr>
    </w:lvl>
    <w:lvl w:ilvl="5" w:tplc="A91E535C" w:tentative="1">
      <w:start w:val="1"/>
      <w:numFmt w:val="bullet"/>
      <w:lvlText w:val=""/>
      <w:lvlJc w:val="left"/>
      <w:pPr>
        <w:tabs>
          <w:tab w:val="num" w:pos="4320"/>
        </w:tabs>
        <w:ind w:left="4320" w:hanging="360"/>
      </w:pPr>
      <w:rPr>
        <w:rFonts w:ascii="Symbol" w:hAnsi="Symbol" w:hint="default"/>
      </w:rPr>
    </w:lvl>
    <w:lvl w:ilvl="6" w:tplc="4E1028D2" w:tentative="1">
      <w:start w:val="1"/>
      <w:numFmt w:val="bullet"/>
      <w:lvlText w:val=""/>
      <w:lvlJc w:val="left"/>
      <w:pPr>
        <w:tabs>
          <w:tab w:val="num" w:pos="5040"/>
        </w:tabs>
        <w:ind w:left="5040" w:hanging="360"/>
      </w:pPr>
      <w:rPr>
        <w:rFonts w:ascii="Symbol" w:hAnsi="Symbol" w:hint="default"/>
      </w:rPr>
    </w:lvl>
    <w:lvl w:ilvl="7" w:tplc="825EB4F0" w:tentative="1">
      <w:start w:val="1"/>
      <w:numFmt w:val="bullet"/>
      <w:lvlText w:val=""/>
      <w:lvlJc w:val="left"/>
      <w:pPr>
        <w:tabs>
          <w:tab w:val="num" w:pos="5760"/>
        </w:tabs>
        <w:ind w:left="5760" w:hanging="360"/>
      </w:pPr>
      <w:rPr>
        <w:rFonts w:ascii="Symbol" w:hAnsi="Symbol" w:hint="default"/>
      </w:rPr>
    </w:lvl>
    <w:lvl w:ilvl="8" w:tplc="D5082D0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CE3408"/>
    <w:multiLevelType w:val="hybridMultilevel"/>
    <w:tmpl w:val="AF5A8EFE"/>
    <w:lvl w:ilvl="0" w:tplc="040B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0024ED"/>
    <w:multiLevelType w:val="hybridMultilevel"/>
    <w:tmpl w:val="27C0378E"/>
    <w:lvl w:ilvl="0" w:tplc="0EC04972">
      <w:start w:val="3"/>
      <w:numFmt w:val="bullet"/>
      <w:lvlText w:val="-"/>
      <w:lvlJc w:val="left"/>
      <w:pPr>
        <w:ind w:left="555" w:hanging="360"/>
      </w:pPr>
      <w:rPr>
        <w:rFonts w:ascii="Times New Roman" w:eastAsia="Times New Roman" w:hAnsi="Times New Roman" w:cs="Times New Roman"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F1314F"/>
    <w:multiLevelType w:val="hybridMultilevel"/>
    <w:tmpl w:val="9DA8B046"/>
    <w:lvl w:ilvl="0" w:tplc="F0E04390">
      <w:start w:val="1"/>
      <w:numFmt w:val="bullet"/>
      <w:lvlText w:val=""/>
      <w:lvlJc w:val="left"/>
      <w:pPr>
        <w:tabs>
          <w:tab w:val="num" w:pos="720"/>
        </w:tabs>
        <w:ind w:left="720" w:hanging="360"/>
      </w:pPr>
      <w:rPr>
        <w:rFonts w:ascii="Symbol" w:hAnsi="Symbol" w:hint="default"/>
      </w:rPr>
    </w:lvl>
    <w:lvl w:ilvl="1" w:tplc="41D604B6" w:tentative="1">
      <w:start w:val="1"/>
      <w:numFmt w:val="bullet"/>
      <w:lvlText w:val=""/>
      <w:lvlJc w:val="left"/>
      <w:pPr>
        <w:tabs>
          <w:tab w:val="num" w:pos="1440"/>
        </w:tabs>
        <w:ind w:left="1440" w:hanging="360"/>
      </w:pPr>
      <w:rPr>
        <w:rFonts w:ascii="Symbol" w:hAnsi="Symbol" w:hint="default"/>
      </w:rPr>
    </w:lvl>
    <w:lvl w:ilvl="2" w:tplc="17C2CAF6" w:tentative="1">
      <w:start w:val="1"/>
      <w:numFmt w:val="bullet"/>
      <w:lvlText w:val=""/>
      <w:lvlJc w:val="left"/>
      <w:pPr>
        <w:tabs>
          <w:tab w:val="num" w:pos="2160"/>
        </w:tabs>
        <w:ind w:left="2160" w:hanging="360"/>
      </w:pPr>
      <w:rPr>
        <w:rFonts w:ascii="Symbol" w:hAnsi="Symbol" w:hint="default"/>
      </w:rPr>
    </w:lvl>
    <w:lvl w:ilvl="3" w:tplc="F8FEEE54" w:tentative="1">
      <w:start w:val="1"/>
      <w:numFmt w:val="bullet"/>
      <w:lvlText w:val=""/>
      <w:lvlJc w:val="left"/>
      <w:pPr>
        <w:tabs>
          <w:tab w:val="num" w:pos="2880"/>
        </w:tabs>
        <w:ind w:left="2880" w:hanging="360"/>
      </w:pPr>
      <w:rPr>
        <w:rFonts w:ascii="Symbol" w:hAnsi="Symbol" w:hint="default"/>
      </w:rPr>
    </w:lvl>
    <w:lvl w:ilvl="4" w:tplc="B65EBC4C" w:tentative="1">
      <w:start w:val="1"/>
      <w:numFmt w:val="bullet"/>
      <w:lvlText w:val=""/>
      <w:lvlJc w:val="left"/>
      <w:pPr>
        <w:tabs>
          <w:tab w:val="num" w:pos="3600"/>
        </w:tabs>
        <w:ind w:left="3600" w:hanging="360"/>
      </w:pPr>
      <w:rPr>
        <w:rFonts w:ascii="Symbol" w:hAnsi="Symbol" w:hint="default"/>
      </w:rPr>
    </w:lvl>
    <w:lvl w:ilvl="5" w:tplc="3F889C38" w:tentative="1">
      <w:start w:val="1"/>
      <w:numFmt w:val="bullet"/>
      <w:lvlText w:val=""/>
      <w:lvlJc w:val="left"/>
      <w:pPr>
        <w:tabs>
          <w:tab w:val="num" w:pos="4320"/>
        </w:tabs>
        <w:ind w:left="4320" w:hanging="360"/>
      </w:pPr>
      <w:rPr>
        <w:rFonts w:ascii="Symbol" w:hAnsi="Symbol" w:hint="default"/>
      </w:rPr>
    </w:lvl>
    <w:lvl w:ilvl="6" w:tplc="90301A0E" w:tentative="1">
      <w:start w:val="1"/>
      <w:numFmt w:val="bullet"/>
      <w:lvlText w:val=""/>
      <w:lvlJc w:val="left"/>
      <w:pPr>
        <w:tabs>
          <w:tab w:val="num" w:pos="5040"/>
        </w:tabs>
        <w:ind w:left="5040" w:hanging="360"/>
      </w:pPr>
      <w:rPr>
        <w:rFonts w:ascii="Symbol" w:hAnsi="Symbol" w:hint="default"/>
      </w:rPr>
    </w:lvl>
    <w:lvl w:ilvl="7" w:tplc="DC2E500C" w:tentative="1">
      <w:start w:val="1"/>
      <w:numFmt w:val="bullet"/>
      <w:lvlText w:val=""/>
      <w:lvlJc w:val="left"/>
      <w:pPr>
        <w:tabs>
          <w:tab w:val="num" w:pos="5760"/>
        </w:tabs>
        <w:ind w:left="5760" w:hanging="360"/>
      </w:pPr>
      <w:rPr>
        <w:rFonts w:ascii="Symbol" w:hAnsi="Symbol" w:hint="default"/>
      </w:rPr>
    </w:lvl>
    <w:lvl w:ilvl="8" w:tplc="6136CCC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43568F"/>
    <w:multiLevelType w:val="hybridMultilevel"/>
    <w:tmpl w:val="3E907AD8"/>
    <w:lvl w:ilvl="0" w:tplc="F258C53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447A34E2"/>
    <w:multiLevelType w:val="hybridMultilevel"/>
    <w:tmpl w:val="DB04BD16"/>
    <w:lvl w:ilvl="0" w:tplc="A7480D28">
      <w:start w:val="1"/>
      <w:numFmt w:val="bullet"/>
      <w:lvlText w:val=""/>
      <w:lvlJc w:val="left"/>
      <w:pPr>
        <w:tabs>
          <w:tab w:val="num" w:pos="720"/>
        </w:tabs>
        <w:ind w:left="720" w:hanging="360"/>
      </w:pPr>
      <w:rPr>
        <w:rFonts w:ascii="Symbol" w:hAnsi="Symbol" w:hint="default"/>
      </w:rPr>
    </w:lvl>
    <w:lvl w:ilvl="1" w:tplc="1326F128" w:tentative="1">
      <w:start w:val="1"/>
      <w:numFmt w:val="bullet"/>
      <w:lvlText w:val=""/>
      <w:lvlJc w:val="left"/>
      <w:pPr>
        <w:tabs>
          <w:tab w:val="num" w:pos="1440"/>
        </w:tabs>
        <w:ind w:left="1440" w:hanging="360"/>
      </w:pPr>
      <w:rPr>
        <w:rFonts w:ascii="Symbol" w:hAnsi="Symbol" w:hint="default"/>
      </w:rPr>
    </w:lvl>
    <w:lvl w:ilvl="2" w:tplc="508A1B54" w:tentative="1">
      <w:start w:val="1"/>
      <w:numFmt w:val="bullet"/>
      <w:lvlText w:val=""/>
      <w:lvlJc w:val="left"/>
      <w:pPr>
        <w:tabs>
          <w:tab w:val="num" w:pos="2160"/>
        </w:tabs>
        <w:ind w:left="2160" w:hanging="360"/>
      </w:pPr>
      <w:rPr>
        <w:rFonts w:ascii="Symbol" w:hAnsi="Symbol" w:hint="default"/>
      </w:rPr>
    </w:lvl>
    <w:lvl w:ilvl="3" w:tplc="DB144ED0" w:tentative="1">
      <w:start w:val="1"/>
      <w:numFmt w:val="bullet"/>
      <w:lvlText w:val=""/>
      <w:lvlJc w:val="left"/>
      <w:pPr>
        <w:tabs>
          <w:tab w:val="num" w:pos="2880"/>
        </w:tabs>
        <w:ind w:left="2880" w:hanging="360"/>
      </w:pPr>
      <w:rPr>
        <w:rFonts w:ascii="Symbol" w:hAnsi="Symbol" w:hint="default"/>
      </w:rPr>
    </w:lvl>
    <w:lvl w:ilvl="4" w:tplc="D38C1AEC" w:tentative="1">
      <w:start w:val="1"/>
      <w:numFmt w:val="bullet"/>
      <w:lvlText w:val=""/>
      <w:lvlJc w:val="left"/>
      <w:pPr>
        <w:tabs>
          <w:tab w:val="num" w:pos="3600"/>
        </w:tabs>
        <w:ind w:left="3600" w:hanging="360"/>
      </w:pPr>
      <w:rPr>
        <w:rFonts w:ascii="Symbol" w:hAnsi="Symbol" w:hint="default"/>
      </w:rPr>
    </w:lvl>
    <w:lvl w:ilvl="5" w:tplc="419C8B06" w:tentative="1">
      <w:start w:val="1"/>
      <w:numFmt w:val="bullet"/>
      <w:lvlText w:val=""/>
      <w:lvlJc w:val="left"/>
      <w:pPr>
        <w:tabs>
          <w:tab w:val="num" w:pos="4320"/>
        </w:tabs>
        <w:ind w:left="4320" w:hanging="360"/>
      </w:pPr>
      <w:rPr>
        <w:rFonts w:ascii="Symbol" w:hAnsi="Symbol" w:hint="default"/>
      </w:rPr>
    </w:lvl>
    <w:lvl w:ilvl="6" w:tplc="C63C638E" w:tentative="1">
      <w:start w:val="1"/>
      <w:numFmt w:val="bullet"/>
      <w:lvlText w:val=""/>
      <w:lvlJc w:val="left"/>
      <w:pPr>
        <w:tabs>
          <w:tab w:val="num" w:pos="5040"/>
        </w:tabs>
        <w:ind w:left="5040" w:hanging="360"/>
      </w:pPr>
      <w:rPr>
        <w:rFonts w:ascii="Symbol" w:hAnsi="Symbol" w:hint="default"/>
      </w:rPr>
    </w:lvl>
    <w:lvl w:ilvl="7" w:tplc="B6F08382" w:tentative="1">
      <w:start w:val="1"/>
      <w:numFmt w:val="bullet"/>
      <w:lvlText w:val=""/>
      <w:lvlJc w:val="left"/>
      <w:pPr>
        <w:tabs>
          <w:tab w:val="num" w:pos="5760"/>
        </w:tabs>
        <w:ind w:left="5760" w:hanging="360"/>
      </w:pPr>
      <w:rPr>
        <w:rFonts w:ascii="Symbol" w:hAnsi="Symbol" w:hint="default"/>
      </w:rPr>
    </w:lvl>
    <w:lvl w:ilvl="8" w:tplc="8DF8054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49F59E7"/>
    <w:multiLevelType w:val="hybridMultilevel"/>
    <w:tmpl w:val="11401AD4"/>
    <w:lvl w:ilvl="0" w:tplc="38FA543C">
      <w:start w:val="3"/>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1634C7"/>
    <w:multiLevelType w:val="hybridMultilevel"/>
    <w:tmpl w:val="DAB848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69680F95"/>
    <w:multiLevelType w:val="hybridMultilevel"/>
    <w:tmpl w:val="DEDAE944"/>
    <w:lvl w:ilvl="0" w:tplc="5D087958">
      <w:start w:val="1"/>
      <w:numFmt w:val="bullet"/>
      <w:lvlText w:val=""/>
      <w:lvlJc w:val="left"/>
      <w:pPr>
        <w:tabs>
          <w:tab w:val="num" w:pos="720"/>
        </w:tabs>
        <w:ind w:left="720" w:hanging="360"/>
      </w:pPr>
      <w:rPr>
        <w:rFonts w:ascii="Symbol" w:hAnsi="Symbol" w:hint="default"/>
      </w:rPr>
    </w:lvl>
    <w:lvl w:ilvl="1" w:tplc="9B22CC20" w:tentative="1">
      <w:start w:val="1"/>
      <w:numFmt w:val="bullet"/>
      <w:lvlText w:val=""/>
      <w:lvlJc w:val="left"/>
      <w:pPr>
        <w:tabs>
          <w:tab w:val="num" w:pos="1440"/>
        </w:tabs>
        <w:ind w:left="1440" w:hanging="360"/>
      </w:pPr>
      <w:rPr>
        <w:rFonts w:ascii="Symbol" w:hAnsi="Symbol" w:hint="default"/>
      </w:rPr>
    </w:lvl>
    <w:lvl w:ilvl="2" w:tplc="92D0C292" w:tentative="1">
      <w:start w:val="1"/>
      <w:numFmt w:val="bullet"/>
      <w:lvlText w:val=""/>
      <w:lvlJc w:val="left"/>
      <w:pPr>
        <w:tabs>
          <w:tab w:val="num" w:pos="2160"/>
        </w:tabs>
        <w:ind w:left="2160" w:hanging="360"/>
      </w:pPr>
      <w:rPr>
        <w:rFonts w:ascii="Symbol" w:hAnsi="Symbol" w:hint="default"/>
      </w:rPr>
    </w:lvl>
    <w:lvl w:ilvl="3" w:tplc="E0FE33E2" w:tentative="1">
      <w:start w:val="1"/>
      <w:numFmt w:val="bullet"/>
      <w:lvlText w:val=""/>
      <w:lvlJc w:val="left"/>
      <w:pPr>
        <w:tabs>
          <w:tab w:val="num" w:pos="2880"/>
        </w:tabs>
        <w:ind w:left="2880" w:hanging="360"/>
      </w:pPr>
      <w:rPr>
        <w:rFonts w:ascii="Symbol" w:hAnsi="Symbol" w:hint="default"/>
      </w:rPr>
    </w:lvl>
    <w:lvl w:ilvl="4" w:tplc="CD8E58AC" w:tentative="1">
      <w:start w:val="1"/>
      <w:numFmt w:val="bullet"/>
      <w:lvlText w:val=""/>
      <w:lvlJc w:val="left"/>
      <w:pPr>
        <w:tabs>
          <w:tab w:val="num" w:pos="3600"/>
        </w:tabs>
        <w:ind w:left="3600" w:hanging="360"/>
      </w:pPr>
      <w:rPr>
        <w:rFonts w:ascii="Symbol" w:hAnsi="Symbol" w:hint="default"/>
      </w:rPr>
    </w:lvl>
    <w:lvl w:ilvl="5" w:tplc="240EAEE2" w:tentative="1">
      <w:start w:val="1"/>
      <w:numFmt w:val="bullet"/>
      <w:lvlText w:val=""/>
      <w:lvlJc w:val="left"/>
      <w:pPr>
        <w:tabs>
          <w:tab w:val="num" w:pos="4320"/>
        </w:tabs>
        <w:ind w:left="4320" w:hanging="360"/>
      </w:pPr>
      <w:rPr>
        <w:rFonts w:ascii="Symbol" w:hAnsi="Symbol" w:hint="default"/>
      </w:rPr>
    </w:lvl>
    <w:lvl w:ilvl="6" w:tplc="84B21090" w:tentative="1">
      <w:start w:val="1"/>
      <w:numFmt w:val="bullet"/>
      <w:lvlText w:val=""/>
      <w:lvlJc w:val="left"/>
      <w:pPr>
        <w:tabs>
          <w:tab w:val="num" w:pos="5040"/>
        </w:tabs>
        <w:ind w:left="5040" w:hanging="360"/>
      </w:pPr>
      <w:rPr>
        <w:rFonts w:ascii="Symbol" w:hAnsi="Symbol" w:hint="default"/>
      </w:rPr>
    </w:lvl>
    <w:lvl w:ilvl="7" w:tplc="C382E08C" w:tentative="1">
      <w:start w:val="1"/>
      <w:numFmt w:val="bullet"/>
      <w:lvlText w:val=""/>
      <w:lvlJc w:val="left"/>
      <w:pPr>
        <w:tabs>
          <w:tab w:val="num" w:pos="5760"/>
        </w:tabs>
        <w:ind w:left="5760" w:hanging="360"/>
      </w:pPr>
      <w:rPr>
        <w:rFonts w:ascii="Symbol" w:hAnsi="Symbol" w:hint="default"/>
      </w:rPr>
    </w:lvl>
    <w:lvl w:ilvl="8" w:tplc="FBD0FBA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7A780A"/>
    <w:multiLevelType w:val="hybridMultilevel"/>
    <w:tmpl w:val="0220E21A"/>
    <w:lvl w:ilvl="0" w:tplc="698A45E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1"/>
  </w:num>
  <w:num w:numId="7">
    <w:abstractNumId w:val="12"/>
  </w:num>
  <w:num w:numId="8">
    <w:abstractNumId w:val="13"/>
  </w:num>
  <w:num w:numId="9">
    <w:abstractNumId w:val="17"/>
  </w:num>
  <w:num w:numId="10">
    <w:abstractNumId w:val="13"/>
  </w:num>
  <w:num w:numId="11">
    <w:abstractNumId w:val="15"/>
  </w:num>
  <w:num w:numId="12">
    <w:abstractNumId w:val="18"/>
  </w:num>
  <w:num w:numId="13">
    <w:abstractNumId w:val="16"/>
  </w:num>
  <w:num w:numId="14">
    <w:abstractNumId w:val="2"/>
  </w:num>
  <w:num w:numId="15">
    <w:abstractNumId w:val="9"/>
  </w:num>
  <w:num w:numId="16">
    <w:abstractNumId w:val="6"/>
  </w:num>
  <w:num w:numId="17">
    <w:abstractNumId w:val="8"/>
  </w:num>
  <w:num w:numId="18">
    <w:abstractNumId w:val="10"/>
  </w:num>
  <w:num w:numId="19">
    <w:abstractNumId w:val="4"/>
  </w:num>
  <w:num w:numId="20">
    <w:abstractNumId w:val="3"/>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DD"/>
    <w:rsid w:val="00006C10"/>
    <w:rsid w:val="00012CAC"/>
    <w:rsid w:val="00016557"/>
    <w:rsid w:val="00023C40"/>
    <w:rsid w:val="00027C6F"/>
    <w:rsid w:val="00033397"/>
    <w:rsid w:val="00040095"/>
    <w:rsid w:val="000400FE"/>
    <w:rsid w:val="00062625"/>
    <w:rsid w:val="00065268"/>
    <w:rsid w:val="00073C9C"/>
    <w:rsid w:val="00076412"/>
    <w:rsid w:val="00080512"/>
    <w:rsid w:val="00090468"/>
    <w:rsid w:val="00092C9E"/>
    <w:rsid w:val="00092F68"/>
    <w:rsid w:val="00094568"/>
    <w:rsid w:val="000B04CA"/>
    <w:rsid w:val="000B5E25"/>
    <w:rsid w:val="000B7BCF"/>
    <w:rsid w:val="000C522B"/>
    <w:rsid w:val="000C525C"/>
    <w:rsid w:val="000D58AB"/>
    <w:rsid w:val="000E02D7"/>
    <w:rsid w:val="00104C26"/>
    <w:rsid w:val="00106F11"/>
    <w:rsid w:val="00112F1A"/>
    <w:rsid w:val="00132970"/>
    <w:rsid w:val="00145075"/>
    <w:rsid w:val="001741A0"/>
    <w:rsid w:val="00175FA0"/>
    <w:rsid w:val="00192F24"/>
    <w:rsid w:val="00193226"/>
    <w:rsid w:val="00194CD0"/>
    <w:rsid w:val="001A2616"/>
    <w:rsid w:val="001B49C9"/>
    <w:rsid w:val="001C23F4"/>
    <w:rsid w:val="001C4F79"/>
    <w:rsid w:val="001C5049"/>
    <w:rsid w:val="001D13D5"/>
    <w:rsid w:val="001E5A8D"/>
    <w:rsid w:val="001F168B"/>
    <w:rsid w:val="001F7831"/>
    <w:rsid w:val="00204045"/>
    <w:rsid w:val="0020712B"/>
    <w:rsid w:val="0022606D"/>
    <w:rsid w:val="00227A41"/>
    <w:rsid w:val="00231728"/>
    <w:rsid w:val="00232E26"/>
    <w:rsid w:val="00234349"/>
    <w:rsid w:val="0024375A"/>
    <w:rsid w:val="00244A05"/>
    <w:rsid w:val="00250404"/>
    <w:rsid w:val="00256B74"/>
    <w:rsid w:val="002610D8"/>
    <w:rsid w:val="002747EC"/>
    <w:rsid w:val="002855BF"/>
    <w:rsid w:val="002B2988"/>
    <w:rsid w:val="002C676D"/>
    <w:rsid w:val="002D350F"/>
    <w:rsid w:val="002D3EDF"/>
    <w:rsid w:val="002E3ED5"/>
    <w:rsid w:val="002E420C"/>
    <w:rsid w:val="002F0D22"/>
    <w:rsid w:val="002F41B1"/>
    <w:rsid w:val="00311B17"/>
    <w:rsid w:val="003172DC"/>
    <w:rsid w:val="00322635"/>
    <w:rsid w:val="00325AE3"/>
    <w:rsid w:val="00326069"/>
    <w:rsid w:val="003306C9"/>
    <w:rsid w:val="00350D04"/>
    <w:rsid w:val="003515DB"/>
    <w:rsid w:val="0035462D"/>
    <w:rsid w:val="0036459E"/>
    <w:rsid w:val="00364B41"/>
    <w:rsid w:val="00370C69"/>
    <w:rsid w:val="00383096"/>
    <w:rsid w:val="0039346C"/>
    <w:rsid w:val="003A41EF"/>
    <w:rsid w:val="003A6D88"/>
    <w:rsid w:val="003B40AD"/>
    <w:rsid w:val="003B581F"/>
    <w:rsid w:val="003C4E37"/>
    <w:rsid w:val="003E16BE"/>
    <w:rsid w:val="003E1A7A"/>
    <w:rsid w:val="003F2379"/>
    <w:rsid w:val="003F4E28"/>
    <w:rsid w:val="003F7D93"/>
    <w:rsid w:val="004006E8"/>
    <w:rsid w:val="00401855"/>
    <w:rsid w:val="00401D3A"/>
    <w:rsid w:val="00405F91"/>
    <w:rsid w:val="00414DC1"/>
    <w:rsid w:val="00426A7F"/>
    <w:rsid w:val="00435882"/>
    <w:rsid w:val="00441A65"/>
    <w:rsid w:val="00441DA8"/>
    <w:rsid w:val="00446C3A"/>
    <w:rsid w:val="00456F71"/>
    <w:rsid w:val="00465587"/>
    <w:rsid w:val="00475F4C"/>
    <w:rsid w:val="00477455"/>
    <w:rsid w:val="004820E0"/>
    <w:rsid w:val="00484114"/>
    <w:rsid w:val="004939EC"/>
    <w:rsid w:val="004A1F7B"/>
    <w:rsid w:val="004A4BCD"/>
    <w:rsid w:val="004B13D7"/>
    <w:rsid w:val="004B60C8"/>
    <w:rsid w:val="004C44D2"/>
    <w:rsid w:val="004D24C4"/>
    <w:rsid w:val="004D3578"/>
    <w:rsid w:val="004D380D"/>
    <w:rsid w:val="004D46A2"/>
    <w:rsid w:val="004E213A"/>
    <w:rsid w:val="004F4540"/>
    <w:rsid w:val="004F6BB1"/>
    <w:rsid w:val="004F73A7"/>
    <w:rsid w:val="00503171"/>
    <w:rsid w:val="0050523C"/>
    <w:rsid w:val="00506C28"/>
    <w:rsid w:val="00515054"/>
    <w:rsid w:val="00524CFA"/>
    <w:rsid w:val="00534DA0"/>
    <w:rsid w:val="00543E6C"/>
    <w:rsid w:val="00557E70"/>
    <w:rsid w:val="00565087"/>
    <w:rsid w:val="0056573F"/>
    <w:rsid w:val="00571279"/>
    <w:rsid w:val="00587C43"/>
    <w:rsid w:val="00594229"/>
    <w:rsid w:val="00596ABA"/>
    <w:rsid w:val="005A13AB"/>
    <w:rsid w:val="005A24DD"/>
    <w:rsid w:val="005A49C6"/>
    <w:rsid w:val="005C3743"/>
    <w:rsid w:val="005C766E"/>
    <w:rsid w:val="005C7CD5"/>
    <w:rsid w:val="005D4D4A"/>
    <w:rsid w:val="005D5ABE"/>
    <w:rsid w:val="005D7D39"/>
    <w:rsid w:val="005E4349"/>
    <w:rsid w:val="005F1F24"/>
    <w:rsid w:val="0060591E"/>
    <w:rsid w:val="00606BB5"/>
    <w:rsid w:val="00611566"/>
    <w:rsid w:val="00646D99"/>
    <w:rsid w:val="00647E51"/>
    <w:rsid w:val="00656910"/>
    <w:rsid w:val="006574C0"/>
    <w:rsid w:val="006637CD"/>
    <w:rsid w:val="00684287"/>
    <w:rsid w:val="00696821"/>
    <w:rsid w:val="006A0DEA"/>
    <w:rsid w:val="006A59E0"/>
    <w:rsid w:val="006B1F4A"/>
    <w:rsid w:val="006B73CD"/>
    <w:rsid w:val="006C66D8"/>
    <w:rsid w:val="006D1B60"/>
    <w:rsid w:val="006D1E24"/>
    <w:rsid w:val="006D35DE"/>
    <w:rsid w:val="006E1057"/>
    <w:rsid w:val="006E1417"/>
    <w:rsid w:val="006E3D93"/>
    <w:rsid w:val="006F6A2C"/>
    <w:rsid w:val="007069DC"/>
    <w:rsid w:val="00710201"/>
    <w:rsid w:val="0072073A"/>
    <w:rsid w:val="007342B5"/>
    <w:rsid w:val="00734A5B"/>
    <w:rsid w:val="00737741"/>
    <w:rsid w:val="00741D5B"/>
    <w:rsid w:val="00744229"/>
    <w:rsid w:val="00744E76"/>
    <w:rsid w:val="00747E46"/>
    <w:rsid w:val="00757D40"/>
    <w:rsid w:val="00764144"/>
    <w:rsid w:val="00765D66"/>
    <w:rsid w:val="007662B5"/>
    <w:rsid w:val="00777F3A"/>
    <w:rsid w:val="00781F0F"/>
    <w:rsid w:val="0078727C"/>
    <w:rsid w:val="0079049D"/>
    <w:rsid w:val="007916C0"/>
    <w:rsid w:val="00793DC5"/>
    <w:rsid w:val="00796823"/>
    <w:rsid w:val="007A22C2"/>
    <w:rsid w:val="007A2E55"/>
    <w:rsid w:val="007B18D8"/>
    <w:rsid w:val="007B2346"/>
    <w:rsid w:val="007C095F"/>
    <w:rsid w:val="007C2DD0"/>
    <w:rsid w:val="007D6B74"/>
    <w:rsid w:val="007E4C7A"/>
    <w:rsid w:val="007F2E08"/>
    <w:rsid w:val="008024FA"/>
    <w:rsid w:val="008028A4"/>
    <w:rsid w:val="00813245"/>
    <w:rsid w:val="00840DE0"/>
    <w:rsid w:val="00847CD0"/>
    <w:rsid w:val="008607A8"/>
    <w:rsid w:val="0086354A"/>
    <w:rsid w:val="0087242B"/>
    <w:rsid w:val="008735E1"/>
    <w:rsid w:val="00874E16"/>
    <w:rsid w:val="008768CA"/>
    <w:rsid w:val="00877EF9"/>
    <w:rsid w:val="00880559"/>
    <w:rsid w:val="00885BDD"/>
    <w:rsid w:val="00893C23"/>
    <w:rsid w:val="008B2057"/>
    <w:rsid w:val="008B5306"/>
    <w:rsid w:val="008C2E2A"/>
    <w:rsid w:val="008C3057"/>
    <w:rsid w:val="008C4D0C"/>
    <w:rsid w:val="008D2E4D"/>
    <w:rsid w:val="008E302D"/>
    <w:rsid w:val="008F2FBD"/>
    <w:rsid w:val="008F35E5"/>
    <w:rsid w:val="008F396F"/>
    <w:rsid w:val="008F3DCD"/>
    <w:rsid w:val="0090271F"/>
    <w:rsid w:val="00902DB9"/>
    <w:rsid w:val="0090466A"/>
    <w:rsid w:val="00912387"/>
    <w:rsid w:val="00923655"/>
    <w:rsid w:val="00930C61"/>
    <w:rsid w:val="009315F5"/>
    <w:rsid w:val="009339CB"/>
    <w:rsid w:val="00936071"/>
    <w:rsid w:val="00936586"/>
    <w:rsid w:val="009376CD"/>
    <w:rsid w:val="00940212"/>
    <w:rsid w:val="00942EC2"/>
    <w:rsid w:val="00961B32"/>
    <w:rsid w:val="00962509"/>
    <w:rsid w:val="009673F8"/>
    <w:rsid w:val="00970DB3"/>
    <w:rsid w:val="00974BB0"/>
    <w:rsid w:val="00975BCD"/>
    <w:rsid w:val="009822E8"/>
    <w:rsid w:val="00986410"/>
    <w:rsid w:val="0098725C"/>
    <w:rsid w:val="00990A39"/>
    <w:rsid w:val="009928A9"/>
    <w:rsid w:val="009A0AF3"/>
    <w:rsid w:val="009B07CD"/>
    <w:rsid w:val="009C19E9"/>
    <w:rsid w:val="009C54D4"/>
    <w:rsid w:val="009D74A6"/>
    <w:rsid w:val="009E0E87"/>
    <w:rsid w:val="00A05699"/>
    <w:rsid w:val="00A10F02"/>
    <w:rsid w:val="00A17176"/>
    <w:rsid w:val="00A204CA"/>
    <w:rsid w:val="00A209D6"/>
    <w:rsid w:val="00A220FC"/>
    <w:rsid w:val="00A22738"/>
    <w:rsid w:val="00A2658C"/>
    <w:rsid w:val="00A3429E"/>
    <w:rsid w:val="00A36F5F"/>
    <w:rsid w:val="00A42EF3"/>
    <w:rsid w:val="00A430EC"/>
    <w:rsid w:val="00A53724"/>
    <w:rsid w:val="00A54B2B"/>
    <w:rsid w:val="00A619AA"/>
    <w:rsid w:val="00A703B6"/>
    <w:rsid w:val="00A82346"/>
    <w:rsid w:val="00A840AA"/>
    <w:rsid w:val="00A928D1"/>
    <w:rsid w:val="00A9671C"/>
    <w:rsid w:val="00AA1553"/>
    <w:rsid w:val="00AB013C"/>
    <w:rsid w:val="00AB5939"/>
    <w:rsid w:val="00AC62FC"/>
    <w:rsid w:val="00AD2842"/>
    <w:rsid w:val="00B05380"/>
    <w:rsid w:val="00B05962"/>
    <w:rsid w:val="00B121E9"/>
    <w:rsid w:val="00B15449"/>
    <w:rsid w:val="00B16C2F"/>
    <w:rsid w:val="00B16CA1"/>
    <w:rsid w:val="00B27303"/>
    <w:rsid w:val="00B47FD1"/>
    <w:rsid w:val="00B516BB"/>
    <w:rsid w:val="00B51712"/>
    <w:rsid w:val="00B54D6D"/>
    <w:rsid w:val="00B556E0"/>
    <w:rsid w:val="00B5647A"/>
    <w:rsid w:val="00B60B0D"/>
    <w:rsid w:val="00B70807"/>
    <w:rsid w:val="00B7538C"/>
    <w:rsid w:val="00B82415"/>
    <w:rsid w:val="00B83168"/>
    <w:rsid w:val="00B84DB2"/>
    <w:rsid w:val="00BA4C88"/>
    <w:rsid w:val="00BB4990"/>
    <w:rsid w:val="00BC3555"/>
    <w:rsid w:val="00BC75EB"/>
    <w:rsid w:val="00BE7834"/>
    <w:rsid w:val="00BF1816"/>
    <w:rsid w:val="00BF66BF"/>
    <w:rsid w:val="00C12B51"/>
    <w:rsid w:val="00C14103"/>
    <w:rsid w:val="00C24650"/>
    <w:rsid w:val="00C24EFC"/>
    <w:rsid w:val="00C25465"/>
    <w:rsid w:val="00C33079"/>
    <w:rsid w:val="00C52398"/>
    <w:rsid w:val="00C55A12"/>
    <w:rsid w:val="00C60C10"/>
    <w:rsid w:val="00C6129D"/>
    <w:rsid w:val="00C6553E"/>
    <w:rsid w:val="00C82D8C"/>
    <w:rsid w:val="00C83A13"/>
    <w:rsid w:val="00C86F10"/>
    <w:rsid w:val="00C9068C"/>
    <w:rsid w:val="00C92967"/>
    <w:rsid w:val="00C96314"/>
    <w:rsid w:val="00CA3D0C"/>
    <w:rsid w:val="00CA654B"/>
    <w:rsid w:val="00CB72B8"/>
    <w:rsid w:val="00CC323E"/>
    <w:rsid w:val="00CD0BA8"/>
    <w:rsid w:val="00CD4C7B"/>
    <w:rsid w:val="00CD58FE"/>
    <w:rsid w:val="00D107BC"/>
    <w:rsid w:val="00D20C45"/>
    <w:rsid w:val="00D33BE3"/>
    <w:rsid w:val="00D3792D"/>
    <w:rsid w:val="00D44162"/>
    <w:rsid w:val="00D55E47"/>
    <w:rsid w:val="00D62E19"/>
    <w:rsid w:val="00D65F68"/>
    <w:rsid w:val="00D67A1C"/>
    <w:rsid w:val="00D67CD1"/>
    <w:rsid w:val="00D67CDB"/>
    <w:rsid w:val="00D70573"/>
    <w:rsid w:val="00D738D6"/>
    <w:rsid w:val="00D75B6D"/>
    <w:rsid w:val="00D7720D"/>
    <w:rsid w:val="00D775B4"/>
    <w:rsid w:val="00D8026D"/>
    <w:rsid w:val="00D80795"/>
    <w:rsid w:val="00D854BE"/>
    <w:rsid w:val="00D87E00"/>
    <w:rsid w:val="00D9134D"/>
    <w:rsid w:val="00D93DB7"/>
    <w:rsid w:val="00D9419A"/>
    <w:rsid w:val="00D96D11"/>
    <w:rsid w:val="00DA7A03"/>
    <w:rsid w:val="00DA7B2D"/>
    <w:rsid w:val="00DB0DB8"/>
    <w:rsid w:val="00DB1818"/>
    <w:rsid w:val="00DC309B"/>
    <w:rsid w:val="00DC4DA2"/>
    <w:rsid w:val="00DC5261"/>
    <w:rsid w:val="00DE25D2"/>
    <w:rsid w:val="00DF52C2"/>
    <w:rsid w:val="00DF7C20"/>
    <w:rsid w:val="00E02A28"/>
    <w:rsid w:val="00E05820"/>
    <w:rsid w:val="00E43844"/>
    <w:rsid w:val="00E44CAB"/>
    <w:rsid w:val="00E46C08"/>
    <w:rsid w:val="00E471CF"/>
    <w:rsid w:val="00E521A9"/>
    <w:rsid w:val="00E55C0C"/>
    <w:rsid w:val="00E62835"/>
    <w:rsid w:val="00E77645"/>
    <w:rsid w:val="00E83697"/>
    <w:rsid w:val="00E859B6"/>
    <w:rsid w:val="00E85AAE"/>
    <w:rsid w:val="00E900D7"/>
    <w:rsid w:val="00EA66C9"/>
    <w:rsid w:val="00EB5D32"/>
    <w:rsid w:val="00EC1B57"/>
    <w:rsid w:val="00EC2B23"/>
    <w:rsid w:val="00EC4A25"/>
    <w:rsid w:val="00ED5761"/>
    <w:rsid w:val="00EE07F1"/>
    <w:rsid w:val="00EF53A0"/>
    <w:rsid w:val="00EF5D03"/>
    <w:rsid w:val="00EF612C"/>
    <w:rsid w:val="00F01D75"/>
    <w:rsid w:val="00F025A2"/>
    <w:rsid w:val="00F036E9"/>
    <w:rsid w:val="00F0376F"/>
    <w:rsid w:val="00F039CC"/>
    <w:rsid w:val="00F066F1"/>
    <w:rsid w:val="00F07388"/>
    <w:rsid w:val="00F112DB"/>
    <w:rsid w:val="00F2026E"/>
    <w:rsid w:val="00F2210A"/>
    <w:rsid w:val="00F22D1B"/>
    <w:rsid w:val="00F31372"/>
    <w:rsid w:val="00F37743"/>
    <w:rsid w:val="00F43180"/>
    <w:rsid w:val="00F4430A"/>
    <w:rsid w:val="00F44DF2"/>
    <w:rsid w:val="00F54A3D"/>
    <w:rsid w:val="00F54CB0"/>
    <w:rsid w:val="00F579CD"/>
    <w:rsid w:val="00F653B8"/>
    <w:rsid w:val="00F66DDE"/>
    <w:rsid w:val="00F67E92"/>
    <w:rsid w:val="00F71B89"/>
    <w:rsid w:val="00F7353C"/>
    <w:rsid w:val="00F76F8F"/>
    <w:rsid w:val="00F87257"/>
    <w:rsid w:val="00F941DF"/>
    <w:rsid w:val="00FA1266"/>
    <w:rsid w:val="00FB36FA"/>
    <w:rsid w:val="00FB4EE1"/>
    <w:rsid w:val="00FC1192"/>
    <w:rsid w:val="00FC343B"/>
    <w:rsid w:val="00FE106D"/>
    <w:rsid w:val="00FE1E56"/>
    <w:rsid w:val="00FE251B"/>
    <w:rsid w:val="0609EA0C"/>
    <w:rsid w:val="065F4A1E"/>
    <w:rsid w:val="0748CA11"/>
    <w:rsid w:val="0912F8BA"/>
    <w:rsid w:val="0B42FC93"/>
    <w:rsid w:val="0DC4EB7C"/>
    <w:rsid w:val="0FD60F1F"/>
    <w:rsid w:val="110119FF"/>
    <w:rsid w:val="12188C28"/>
    <w:rsid w:val="1339F6AA"/>
    <w:rsid w:val="138F9393"/>
    <w:rsid w:val="13AE356B"/>
    <w:rsid w:val="15B8E882"/>
    <w:rsid w:val="16801597"/>
    <w:rsid w:val="16F946AB"/>
    <w:rsid w:val="1832FCAC"/>
    <w:rsid w:val="1886B8B8"/>
    <w:rsid w:val="197D88DD"/>
    <w:rsid w:val="1A68C6D2"/>
    <w:rsid w:val="1E49721C"/>
    <w:rsid w:val="1EB8DA19"/>
    <w:rsid w:val="1F0D0F64"/>
    <w:rsid w:val="20C9C2D7"/>
    <w:rsid w:val="2132B30E"/>
    <w:rsid w:val="214F8C6D"/>
    <w:rsid w:val="21F42752"/>
    <w:rsid w:val="22B98E5C"/>
    <w:rsid w:val="23061165"/>
    <w:rsid w:val="23D3CE9F"/>
    <w:rsid w:val="2410BE40"/>
    <w:rsid w:val="24A1E1C6"/>
    <w:rsid w:val="2550B527"/>
    <w:rsid w:val="257EC4F3"/>
    <w:rsid w:val="2622F90E"/>
    <w:rsid w:val="299FF9E8"/>
    <w:rsid w:val="2B26ED72"/>
    <w:rsid w:val="2CC1E94C"/>
    <w:rsid w:val="2D1FAE2F"/>
    <w:rsid w:val="2DB981FF"/>
    <w:rsid w:val="2EA25633"/>
    <w:rsid w:val="2EA8A154"/>
    <w:rsid w:val="2F8746C7"/>
    <w:rsid w:val="305B8869"/>
    <w:rsid w:val="30A715B5"/>
    <w:rsid w:val="328D129C"/>
    <w:rsid w:val="3350C0A7"/>
    <w:rsid w:val="3393B41C"/>
    <w:rsid w:val="368E89D2"/>
    <w:rsid w:val="38464B0E"/>
    <w:rsid w:val="3C30D42F"/>
    <w:rsid w:val="3D0C2D80"/>
    <w:rsid w:val="3DAA6354"/>
    <w:rsid w:val="3DE7DA5B"/>
    <w:rsid w:val="40EDA630"/>
    <w:rsid w:val="41F8CB0C"/>
    <w:rsid w:val="42D39158"/>
    <w:rsid w:val="437236DE"/>
    <w:rsid w:val="45D7B675"/>
    <w:rsid w:val="4684CA77"/>
    <w:rsid w:val="48E119B2"/>
    <w:rsid w:val="4AAB2798"/>
    <w:rsid w:val="4AFD628D"/>
    <w:rsid w:val="4D06445A"/>
    <w:rsid w:val="4D3F590B"/>
    <w:rsid w:val="4DC87CA0"/>
    <w:rsid w:val="4F78EC6F"/>
    <w:rsid w:val="4FDBE988"/>
    <w:rsid w:val="4FE74A73"/>
    <w:rsid w:val="5078C188"/>
    <w:rsid w:val="52653D4E"/>
    <w:rsid w:val="54A63D3C"/>
    <w:rsid w:val="54EA7EDA"/>
    <w:rsid w:val="55E13D87"/>
    <w:rsid w:val="57A8B586"/>
    <w:rsid w:val="5965CF66"/>
    <w:rsid w:val="5C8E858E"/>
    <w:rsid w:val="6139F062"/>
    <w:rsid w:val="661388A3"/>
    <w:rsid w:val="676242B9"/>
    <w:rsid w:val="68BC3F83"/>
    <w:rsid w:val="693A22BD"/>
    <w:rsid w:val="698D7C4A"/>
    <w:rsid w:val="6B1C16A4"/>
    <w:rsid w:val="6BA2B029"/>
    <w:rsid w:val="6C5736D2"/>
    <w:rsid w:val="6CB771A9"/>
    <w:rsid w:val="6CD9A990"/>
    <w:rsid w:val="6D0D1CAC"/>
    <w:rsid w:val="6D52139B"/>
    <w:rsid w:val="6D67AEA2"/>
    <w:rsid w:val="6E510B0A"/>
    <w:rsid w:val="6FC4451A"/>
    <w:rsid w:val="6FE49461"/>
    <w:rsid w:val="70916F12"/>
    <w:rsid w:val="71CAD26A"/>
    <w:rsid w:val="7247D42E"/>
    <w:rsid w:val="72EDBA1A"/>
    <w:rsid w:val="744F26D8"/>
    <w:rsid w:val="74F143DB"/>
    <w:rsid w:val="77274991"/>
    <w:rsid w:val="7743AE4C"/>
    <w:rsid w:val="786340CC"/>
    <w:rsid w:val="791D8530"/>
    <w:rsid w:val="7A5EEA53"/>
    <w:rsid w:val="7A9A6BB8"/>
    <w:rsid w:val="7B07E4BF"/>
    <w:rsid w:val="7BB6F2B5"/>
    <w:rsid w:val="7C98BC1B"/>
    <w:rsid w:val="7CADD98C"/>
    <w:rsid w:val="7D87096E"/>
    <w:rsid w:val="7D9E37C5"/>
    <w:rsid w:val="7EA7E1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0F9A42B-B856-4633-8B48-A736FFCA3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EE07F1"/>
    <w:pPr>
      <w:spacing w:before="100" w:beforeAutospacing="1" w:after="100" w:afterAutospacing="1"/>
    </w:pPr>
    <w:rPr>
      <w:sz w:val="24"/>
      <w:szCs w:val="24"/>
      <w:lang w:eastAsia="en-GB"/>
    </w:rPr>
  </w:style>
  <w:style w:type="character" w:styleId="FollowedHyperlink">
    <w:name w:val="FollowedHyperlink"/>
    <w:basedOn w:val="DefaultParagraphFont"/>
    <w:rsid w:val="00EE07F1"/>
    <w:rPr>
      <w:color w:val="954F72" w:themeColor="followedHyperlink"/>
      <w:u w:val="single"/>
    </w:rPr>
  </w:style>
  <w:style w:type="paragraph" w:customStyle="1" w:styleId="maintext">
    <w:name w:val="main text"/>
    <w:basedOn w:val="Normal"/>
    <w:link w:val="maintextChar"/>
    <w:qFormat/>
    <w:rsid w:val="00EE07F1"/>
    <w:pPr>
      <w:spacing w:before="60" w:after="60" w:line="288" w:lineRule="auto"/>
      <w:ind w:firstLineChars="200" w:firstLine="200"/>
      <w:jc w:val="both"/>
    </w:pPr>
    <w:rPr>
      <w:rFonts w:ascii="KaiTi_GB2312" w:eastAsia="minorBidi" w:hAnsi="KaiTi_GB2312" w:cs="DotumChe"/>
      <w:lang w:eastAsia="ko-KR"/>
    </w:rPr>
  </w:style>
  <w:style w:type="character" w:customStyle="1" w:styleId="maintextChar">
    <w:name w:val="main text Char"/>
    <w:link w:val="maintext"/>
    <w:qFormat/>
    <w:rsid w:val="00EE07F1"/>
    <w:rPr>
      <w:rFonts w:ascii="KaiTi_GB2312" w:eastAsia="minorBidi" w:hAnsi="KaiTi_GB2312" w:cs="DotumChe"/>
      <w:lang w:eastAsia="ko-KR"/>
    </w:rPr>
  </w:style>
  <w:style w:type="paragraph" w:customStyle="1" w:styleId="Agreement">
    <w:name w:val="Agreement"/>
    <w:basedOn w:val="Normal"/>
    <w:next w:val="Normal"/>
    <w:qFormat/>
    <w:rsid w:val="00EE07F1"/>
    <w:pPr>
      <w:numPr>
        <w:numId w:val="12"/>
      </w:numPr>
      <w:spacing w:before="60" w:after="0"/>
    </w:pPr>
    <w:rPr>
      <w:rFonts w:ascii="Arial" w:eastAsia="MS Mincho" w:hAnsi="Arial"/>
      <w:b/>
      <w:szCs w:val="24"/>
      <w:lang w:eastAsia="en-GB"/>
    </w:rPr>
  </w:style>
  <w:style w:type="character" w:styleId="CommentReference">
    <w:name w:val="annotation reference"/>
    <w:basedOn w:val="DefaultParagraphFont"/>
    <w:rsid w:val="004D24C4"/>
    <w:rPr>
      <w:sz w:val="16"/>
      <w:szCs w:val="16"/>
    </w:rPr>
  </w:style>
  <w:style w:type="paragraph" w:styleId="CommentText">
    <w:name w:val="annotation text"/>
    <w:basedOn w:val="Normal"/>
    <w:link w:val="CommentTextChar"/>
    <w:rsid w:val="004D24C4"/>
  </w:style>
  <w:style w:type="character" w:customStyle="1" w:styleId="CommentTextChar">
    <w:name w:val="Comment Text Char"/>
    <w:basedOn w:val="DefaultParagraphFont"/>
    <w:link w:val="CommentText"/>
    <w:rsid w:val="004D24C4"/>
    <w:rPr>
      <w:lang w:eastAsia="en-US"/>
    </w:rPr>
  </w:style>
  <w:style w:type="paragraph" w:styleId="CommentSubject">
    <w:name w:val="annotation subject"/>
    <w:basedOn w:val="CommentText"/>
    <w:next w:val="CommentText"/>
    <w:link w:val="CommentSubjectChar"/>
    <w:rsid w:val="004D24C4"/>
    <w:rPr>
      <w:b/>
      <w:bCs/>
    </w:rPr>
  </w:style>
  <w:style w:type="character" w:customStyle="1" w:styleId="CommentSubjectChar">
    <w:name w:val="Comment Subject Char"/>
    <w:basedOn w:val="CommentTextChar"/>
    <w:link w:val="CommentSubject"/>
    <w:rsid w:val="004D24C4"/>
    <w:rPr>
      <w:b/>
      <w:bCs/>
      <w:lang w:eastAsia="en-US"/>
    </w:rPr>
  </w:style>
  <w:style w:type="paragraph" w:styleId="NormalWeb">
    <w:name w:val="Normal (Web)"/>
    <w:basedOn w:val="Normal"/>
    <w:uiPriority w:val="99"/>
    <w:unhideWhenUsed/>
    <w:rsid w:val="00BB4990"/>
    <w:pPr>
      <w:spacing w:before="100" w:beforeAutospacing="1" w:after="100" w:afterAutospacing="1"/>
    </w:pPr>
    <w:rPr>
      <w:sz w:val="24"/>
      <w:szCs w:val="24"/>
      <w:lang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목록 단락,リスト"/>
    <w:basedOn w:val="Normal"/>
    <w:link w:val="ListParagraphChar"/>
    <w:uiPriority w:val="34"/>
    <w:qFormat/>
    <w:rsid w:val="00BB4990"/>
    <w:pPr>
      <w:spacing w:after="0"/>
      <w:ind w:left="720"/>
      <w:contextualSpacing/>
    </w:pPr>
    <w:rPr>
      <w:sz w:val="24"/>
      <w:szCs w:val="24"/>
      <w:lang w:eastAsia="en-GB"/>
    </w:rPr>
  </w:style>
  <w:style w:type="character" w:customStyle="1" w:styleId="TALChar">
    <w:name w:val="TAL Char"/>
    <w:link w:val="TAL"/>
    <w:qFormat/>
    <w:rsid w:val="00D107BC"/>
    <w:rPr>
      <w:rFonts w:ascii="Arial" w:hAnsi="Arial"/>
      <w:sz w:val="18"/>
      <w:lang w:eastAsia="en-US"/>
    </w:rPr>
  </w:style>
  <w:style w:type="character" w:customStyle="1" w:styleId="TAHChar">
    <w:name w:val="TAH Char"/>
    <w:link w:val="TAH"/>
    <w:qFormat/>
    <w:rsid w:val="00D107BC"/>
    <w:rPr>
      <w:rFonts w:ascii="Arial" w:hAnsi="Arial"/>
      <w:b/>
      <w:sz w:val="18"/>
      <w:lang w:eastAsia="en-US"/>
    </w:rPr>
  </w:style>
  <w:style w:type="character" w:styleId="Mention">
    <w:name w:val="Mention"/>
    <w:basedOn w:val="DefaultParagraphFont"/>
    <w:uiPriority w:val="99"/>
    <w:unhideWhenUsed/>
    <w:rsid w:val="005C3743"/>
    <w:rPr>
      <w:color w:val="2B579A"/>
      <w:shd w:val="clear" w:color="auto" w:fill="E1DFDD"/>
    </w:rPr>
  </w:style>
  <w:style w:type="character" w:customStyle="1" w:styleId="normaltextrun">
    <w:name w:val="normaltextrun"/>
    <w:basedOn w:val="DefaultParagraphFont"/>
    <w:rsid w:val="005C3743"/>
  </w:style>
  <w:style w:type="character" w:customStyle="1" w:styleId="eop">
    <w:name w:val="eop"/>
    <w:basedOn w:val="DefaultParagraphFont"/>
    <w:rsid w:val="005C3743"/>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リスト Char"/>
    <w:link w:val="ListParagraph"/>
    <w:uiPriority w:val="34"/>
    <w:qFormat/>
    <w:locked/>
    <w:rsid w:val="005C37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5547">
      <w:bodyDiv w:val="1"/>
      <w:marLeft w:val="0"/>
      <w:marRight w:val="0"/>
      <w:marTop w:val="0"/>
      <w:marBottom w:val="0"/>
      <w:divBdr>
        <w:top w:val="none" w:sz="0" w:space="0" w:color="auto"/>
        <w:left w:val="none" w:sz="0" w:space="0" w:color="auto"/>
        <w:bottom w:val="none" w:sz="0" w:space="0" w:color="auto"/>
        <w:right w:val="none" w:sz="0" w:space="0" w:color="auto"/>
      </w:divBdr>
    </w:div>
    <w:div w:id="741370073">
      <w:bodyDiv w:val="1"/>
      <w:marLeft w:val="0"/>
      <w:marRight w:val="0"/>
      <w:marTop w:val="0"/>
      <w:marBottom w:val="0"/>
      <w:divBdr>
        <w:top w:val="none" w:sz="0" w:space="0" w:color="auto"/>
        <w:left w:val="none" w:sz="0" w:space="0" w:color="auto"/>
        <w:bottom w:val="none" w:sz="0" w:space="0" w:color="auto"/>
        <w:right w:val="none" w:sz="0" w:space="0" w:color="auto"/>
      </w:divBdr>
      <w:divsChild>
        <w:div w:id="77022894">
          <w:marLeft w:val="547"/>
          <w:marRight w:val="0"/>
          <w:marTop w:val="60"/>
          <w:marBottom w:val="80"/>
          <w:divBdr>
            <w:top w:val="none" w:sz="0" w:space="0" w:color="auto"/>
            <w:left w:val="none" w:sz="0" w:space="0" w:color="auto"/>
            <w:bottom w:val="none" w:sz="0" w:space="0" w:color="auto"/>
            <w:right w:val="none" w:sz="0" w:space="0" w:color="auto"/>
          </w:divBdr>
        </w:div>
      </w:divsChild>
    </w:div>
    <w:div w:id="8027726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738098">
      <w:bodyDiv w:val="1"/>
      <w:marLeft w:val="0"/>
      <w:marRight w:val="0"/>
      <w:marTop w:val="0"/>
      <w:marBottom w:val="0"/>
      <w:divBdr>
        <w:top w:val="none" w:sz="0" w:space="0" w:color="auto"/>
        <w:left w:val="none" w:sz="0" w:space="0" w:color="auto"/>
        <w:bottom w:val="none" w:sz="0" w:space="0" w:color="auto"/>
        <w:right w:val="none" w:sz="0" w:space="0" w:color="auto"/>
      </w:divBdr>
      <w:divsChild>
        <w:div w:id="1443920383">
          <w:marLeft w:val="547"/>
          <w:marRight w:val="0"/>
          <w:marTop w:val="60"/>
          <w:marBottom w:val="80"/>
          <w:divBdr>
            <w:top w:val="none" w:sz="0" w:space="0" w:color="auto"/>
            <w:left w:val="none" w:sz="0" w:space="0" w:color="auto"/>
            <w:bottom w:val="none" w:sz="0" w:space="0" w:color="auto"/>
            <w:right w:val="none" w:sz="0" w:space="0" w:color="auto"/>
          </w:divBdr>
        </w:div>
      </w:divsChild>
    </w:div>
    <w:div w:id="1334918904">
      <w:bodyDiv w:val="1"/>
      <w:marLeft w:val="0"/>
      <w:marRight w:val="0"/>
      <w:marTop w:val="0"/>
      <w:marBottom w:val="0"/>
      <w:divBdr>
        <w:top w:val="none" w:sz="0" w:space="0" w:color="auto"/>
        <w:left w:val="none" w:sz="0" w:space="0" w:color="auto"/>
        <w:bottom w:val="none" w:sz="0" w:space="0" w:color="auto"/>
        <w:right w:val="none" w:sz="0" w:space="0" w:color="auto"/>
      </w:divBdr>
    </w:div>
    <w:div w:id="1338578813">
      <w:bodyDiv w:val="1"/>
      <w:marLeft w:val="0"/>
      <w:marRight w:val="0"/>
      <w:marTop w:val="0"/>
      <w:marBottom w:val="0"/>
      <w:divBdr>
        <w:top w:val="none" w:sz="0" w:space="0" w:color="auto"/>
        <w:left w:val="none" w:sz="0" w:space="0" w:color="auto"/>
        <w:bottom w:val="none" w:sz="0" w:space="0" w:color="auto"/>
        <w:right w:val="none" w:sz="0" w:space="0" w:color="auto"/>
      </w:divBdr>
    </w:div>
    <w:div w:id="1409187722">
      <w:bodyDiv w:val="1"/>
      <w:marLeft w:val="0"/>
      <w:marRight w:val="0"/>
      <w:marTop w:val="0"/>
      <w:marBottom w:val="0"/>
      <w:divBdr>
        <w:top w:val="none" w:sz="0" w:space="0" w:color="auto"/>
        <w:left w:val="none" w:sz="0" w:space="0" w:color="auto"/>
        <w:bottom w:val="none" w:sz="0" w:space="0" w:color="auto"/>
        <w:right w:val="none" w:sz="0" w:space="0" w:color="auto"/>
      </w:divBdr>
      <w:divsChild>
        <w:div w:id="1136220809">
          <w:marLeft w:val="547"/>
          <w:marRight w:val="0"/>
          <w:marTop w:val="60"/>
          <w:marBottom w:val="80"/>
          <w:divBdr>
            <w:top w:val="none" w:sz="0" w:space="0" w:color="auto"/>
            <w:left w:val="none" w:sz="0" w:space="0" w:color="auto"/>
            <w:bottom w:val="none" w:sz="0" w:space="0" w:color="auto"/>
            <w:right w:val="none" w:sz="0" w:space="0" w:color="auto"/>
          </w:divBdr>
        </w:div>
      </w:divsChild>
    </w:div>
    <w:div w:id="1636836122">
      <w:bodyDiv w:val="1"/>
      <w:marLeft w:val="0"/>
      <w:marRight w:val="0"/>
      <w:marTop w:val="0"/>
      <w:marBottom w:val="0"/>
      <w:divBdr>
        <w:top w:val="none" w:sz="0" w:space="0" w:color="auto"/>
        <w:left w:val="none" w:sz="0" w:space="0" w:color="auto"/>
        <w:bottom w:val="none" w:sz="0" w:space="0" w:color="auto"/>
        <w:right w:val="none" w:sz="0" w:space="0" w:color="auto"/>
      </w:divBdr>
      <w:divsChild>
        <w:div w:id="1124420085">
          <w:marLeft w:val="0"/>
          <w:marRight w:val="0"/>
          <w:marTop w:val="0"/>
          <w:marBottom w:val="0"/>
          <w:divBdr>
            <w:top w:val="none" w:sz="0" w:space="0" w:color="auto"/>
            <w:left w:val="none" w:sz="0" w:space="0" w:color="auto"/>
            <w:bottom w:val="none" w:sz="0" w:space="0" w:color="auto"/>
            <w:right w:val="none" w:sz="0" w:space="0" w:color="auto"/>
          </w:divBdr>
        </w:div>
        <w:div w:id="1576471985">
          <w:marLeft w:val="0"/>
          <w:marRight w:val="0"/>
          <w:marTop w:val="0"/>
          <w:marBottom w:val="0"/>
          <w:divBdr>
            <w:top w:val="none" w:sz="0" w:space="0" w:color="auto"/>
            <w:left w:val="none" w:sz="0" w:space="0" w:color="auto"/>
            <w:bottom w:val="none" w:sz="0" w:space="0" w:color="auto"/>
            <w:right w:val="none" w:sz="0" w:space="0" w:color="auto"/>
          </w:divBdr>
        </w:div>
      </w:divsChild>
    </w:div>
    <w:div w:id="1742217897">
      <w:bodyDiv w:val="1"/>
      <w:marLeft w:val="0"/>
      <w:marRight w:val="0"/>
      <w:marTop w:val="0"/>
      <w:marBottom w:val="0"/>
      <w:divBdr>
        <w:top w:val="none" w:sz="0" w:space="0" w:color="auto"/>
        <w:left w:val="none" w:sz="0" w:space="0" w:color="auto"/>
        <w:bottom w:val="none" w:sz="0" w:space="0" w:color="auto"/>
        <w:right w:val="none" w:sz="0" w:space="0" w:color="auto"/>
      </w:divBdr>
    </w:div>
    <w:div w:id="1989624564">
      <w:bodyDiv w:val="1"/>
      <w:marLeft w:val="0"/>
      <w:marRight w:val="0"/>
      <w:marTop w:val="0"/>
      <w:marBottom w:val="0"/>
      <w:divBdr>
        <w:top w:val="none" w:sz="0" w:space="0" w:color="auto"/>
        <w:left w:val="none" w:sz="0" w:space="0" w:color="auto"/>
        <w:bottom w:val="none" w:sz="0" w:space="0" w:color="auto"/>
        <w:right w:val="none" w:sz="0" w:space="0" w:color="auto"/>
      </w:divBdr>
      <w:divsChild>
        <w:div w:id="787285841">
          <w:marLeft w:val="547"/>
          <w:marRight w:val="0"/>
          <w:marTop w:val="60"/>
          <w:marBottom w:val="0"/>
          <w:divBdr>
            <w:top w:val="none" w:sz="0" w:space="0" w:color="auto"/>
            <w:left w:val="none" w:sz="0" w:space="0" w:color="auto"/>
            <w:bottom w:val="none" w:sz="0" w:space="0" w:color="auto"/>
            <w:right w:val="none" w:sz="0" w:space="0" w:color="auto"/>
          </w:divBdr>
        </w:div>
        <w:div w:id="1696616740">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TSG_RAN/TSGR_96/Docs/RP-221815.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5AIRPNAIUNRU-859666464-12515</_dlc_DocId>
    <_dlc_DocIdUrl xmlns="71c5aaf6-e6ce-465b-b873-5148d2a4c105">
      <Url>https://nokia.sharepoint.com/sites/c5g/e2earch/_layouts/15/DocIdRedir.aspx?ID=5AIRPNAIUNRU-859666464-12515</Url>
      <Description>5AIRPNAIUNRU-859666464-12515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97CB13CD-414A-40A5-9FB1-AA2E05DFC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2372</Words>
  <Characters>15164</Characters>
  <Application>Microsoft Office Word</Application>
  <DocSecurity>0</DocSecurity>
  <Lines>489</Lines>
  <Paragraphs>221</Paragraphs>
  <ScaleCrop>false</ScaleCrop>
  <Manager/>
  <Company>Nokia</Company>
  <LinksUpToDate>false</LinksUpToDate>
  <CharactersWithSpaces>17315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Malgorzata Tomala</cp:lastModifiedBy>
  <cp:revision>69</cp:revision>
  <dcterms:created xsi:type="dcterms:W3CDTF">2022-09-22T19:22:00Z</dcterms:created>
  <dcterms:modified xsi:type="dcterms:W3CDTF">2022-09-30T08:52:00Z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b404a8d4-44ff-456c-89c4-1ae0bbde1572</vt:lpwstr>
  </property>
</Properties>
</file>